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784F1" w14:textId="78AE9FAB" w:rsidR="004550C1" w:rsidRDefault="0036681E">
      <w:r>
        <w:t>Załącznik do KARTY OCENY ZAŁOŻEŃ PROJEKTU INFORMATYCZNEGO NR P4</w:t>
      </w:r>
      <w:r w:rsidR="008B2C9A">
        <w:t>71</w:t>
      </w:r>
    </w:p>
    <w:tbl>
      <w:tblPr>
        <w:tblStyle w:val="TableGrid"/>
        <w:tblW w:w="15557"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left w:w="108" w:type="dxa"/>
          <w:right w:w="49" w:type="dxa"/>
        </w:tblCellMar>
        <w:tblLook w:val="04A0" w:firstRow="1" w:lastRow="0" w:firstColumn="1" w:lastColumn="0" w:noHBand="0" w:noVBand="1"/>
      </w:tblPr>
      <w:tblGrid>
        <w:gridCol w:w="559"/>
        <w:gridCol w:w="1131"/>
        <w:gridCol w:w="1835"/>
        <w:gridCol w:w="3370"/>
        <w:gridCol w:w="2700"/>
        <w:gridCol w:w="5962"/>
      </w:tblGrid>
      <w:tr w:rsidR="004550C1" w14:paraId="3D6F7AC4" w14:textId="77777777" w:rsidTr="003F1D9A">
        <w:trPr>
          <w:trHeight w:val="749"/>
        </w:trPr>
        <w:tc>
          <w:tcPr>
            <w:tcW w:w="15557" w:type="dxa"/>
            <w:gridSpan w:val="6"/>
          </w:tcPr>
          <w:p w14:paraId="2D33F5F5" w14:textId="6DE0907B" w:rsidR="004550C1" w:rsidRDefault="0036681E">
            <w:pPr>
              <w:jc w:val="left"/>
            </w:pPr>
            <w:r>
              <w:rPr>
                <w:b/>
              </w:rPr>
              <w:t xml:space="preserve">Nazwa dokumentu: </w:t>
            </w:r>
            <w:r w:rsidRPr="008B2C9A">
              <w:rPr>
                <w:bCs/>
              </w:rPr>
              <w:t>Opis założeń projektu informatycznego pn.</w:t>
            </w:r>
            <w:r>
              <w:rPr>
                <w:b/>
              </w:rPr>
              <w:t xml:space="preserve"> „</w:t>
            </w:r>
            <w:r w:rsidR="00F133CF" w:rsidRPr="00F133CF">
              <w:rPr>
                <w:b/>
                <w:bCs/>
              </w:rPr>
              <w:t>mLekarz – kompleksowa cyfryzacja procesów obsługi członków Okręgowej Izby Lekarskiej w Warszawie</w:t>
            </w:r>
            <w:r>
              <w:rPr>
                <w:b/>
              </w:rPr>
              <w:t>”</w:t>
            </w:r>
            <w:r>
              <w:t xml:space="preserve"> - </w:t>
            </w:r>
            <w:r>
              <w:rPr>
                <w:i w:val="0"/>
              </w:rPr>
              <w:t xml:space="preserve">wnioskodawca: </w:t>
            </w:r>
            <w:r w:rsidR="00F133CF" w:rsidRPr="00F133CF">
              <w:rPr>
                <w:i w:val="0"/>
              </w:rPr>
              <w:t>Minister Zdrowia</w:t>
            </w:r>
            <w:r>
              <w:rPr>
                <w:i w:val="0"/>
              </w:rPr>
              <w:t xml:space="preserve">, beneficjent: </w:t>
            </w:r>
            <w:r w:rsidR="00F133CF" w:rsidRPr="00F133CF">
              <w:rPr>
                <w:i w:val="0"/>
              </w:rPr>
              <w:t>Okręgowa Izba Lekarska w Warszawie</w:t>
            </w:r>
          </w:p>
        </w:tc>
      </w:tr>
      <w:tr w:rsidR="004550C1" w14:paraId="09034630" w14:textId="77777777" w:rsidTr="003F1D9A">
        <w:trPr>
          <w:trHeight w:val="1621"/>
        </w:trPr>
        <w:tc>
          <w:tcPr>
            <w:tcW w:w="559" w:type="dxa"/>
            <w:vAlign w:val="center"/>
          </w:tcPr>
          <w:p w14:paraId="78C584F8" w14:textId="2D1566D0" w:rsidR="004550C1" w:rsidRDefault="0036681E" w:rsidP="005F0E21">
            <w:pPr>
              <w:ind w:left="22"/>
              <w:jc w:val="center"/>
            </w:pPr>
            <w:r>
              <w:rPr>
                <w:b/>
                <w:i w:val="0"/>
              </w:rPr>
              <w:t>Lp.</w:t>
            </w:r>
          </w:p>
        </w:tc>
        <w:tc>
          <w:tcPr>
            <w:tcW w:w="1131" w:type="dxa"/>
            <w:vAlign w:val="center"/>
          </w:tcPr>
          <w:p w14:paraId="4C8B2125" w14:textId="2915F19C" w:rsidR="004550C1" w:rsidRDefault="0036681E" w:rsidP="005F0E21">
            <w:pPr>
              <w:ind w:right="26"/>
              <w:jc w:val="center"/>
            </w:pPr>
            <w:r>
              <w:rPr>
                <w:b/>
                <w:i w:val="0"/>
              </w:rPr>
              <w:t>Organ wnoszący uwagi</w:t>
            </w:r>
          </w:p>
        </w:tc>
        <w:tc>
          <w:tcPr>
            <w:tcW w:w="1835" w:type="dxa"/>
            <w:vAlign w:val="center"/>
          </w:tcPr>
          <w:p w14:paraId="10835672" w14:textId="49E2C26A" w:rsidR="004550C1" w:rsidRDefault="0036681E" w:rsidP="005F0E21">
            <w:pPr>
              <w:jc w:val="center"/>
            </w:pPr>
            <w:r>
              <w:rPr>
                <w:b/>
                <w:i w:val="0"/>
              </w:rPr>
              <w:t>Jednostka redakcyjna, do której</w:t>
            </w:r>
          </w:p>
          <w:p w14:paraId="19980A44" w14:textId="1B49470F" w:rsidR="004550C1" w:rsidRDefault="0036681E" w:rsidP="005F0E21">
            <w:pPr>
              <w:jc w:val="center"/>
            </w:pPr>
            <w:r>
              <w:rPr>
                <w:b/>
                <w:i w:val="0"/>
              </w:rPr>
              <w:t>wnoszone są uwagi</w:t>
            </w:r>
          </w:p>
        </w:tc>
        <w:tc>
          <w:tcPr>
            <w:tcW w:w="3370" w:type="dxa"/>
            <w:vAlign w:val="center"/>
          </w:tcPr>
          <w:p w14:paraId="78CE84AD" w14:textId="6537C92A" w:rsidR="004550C1" w:rsidRDefault="0036681E" w:rsidP="005F0E21">
            <w:pPr>
              <w:ind w:right="53"/>
              <w:jc w:val="center"/>
            </w:pPr>
            <w:r>
              <w:rPr>
                <w:b/>
                <w:i w:val="0"/>
              </w:rPr>
              <w:t>Treść uwagi</w:t>
            </w:r>
          </w:p>
        </w:tc>
        <w:tc>
          <w:tcPr>
            <w:tcW w:w="2700" w:type="dxa"/>
            <w:vAlign w:val="center"/>
          </w:tcPr>
          <w:p w14:paraId="25C4E6F9" w14:textId="282D2B5F" w:rsidR="004550C1" w:rsidRDefault="0036681E" w:rsidP="005F0E21">
            <w:pPr>
              <w:jc w:val="center"/>
            </w:pPr>
            <w:r>
              <w:rPr>
                <w:b/>
                <w:i w:val="0"/>
              </w:rPr>
              <w:t>Propozycja zmian zapisu</w:t>
            </w:r>
          </w:p>
        </w:tc>
        <w:tc>
          <w:tcPr>
            <w:tcW w:w="5962" w:type="dxa"/>
            <w:vAlign w:val="center"/>
          </w:tcPr>
          <w:p w14:paraId="0DDD9755" w14:textId="67E5B08E" w:rsidR="004550C1" w:rsidRDefault="0036681E" w:rsidP="005F0E21">
            <w:pPr>
              <w:jc w:val="center"/>
            </w:pPr>
            <w:r>
              <w:rPr>
                <w:b/>
                <w:i w:val="0"/>
              </w:rPr>
              <w:t>Odniesienie do uwagi</w:t>
            </w:r>
          </w:p>
        </w:tc>
      </w:tr>
      <w:tr w:rsidR="003F1D9A" w14:paraId="02C0A99D" w14:textId="77777777" w:rsidTr="003F1D9A">
        <w:trPr>
          <w:trHeight w:val="840"/>
        </w:trPr>
        <w:tc>
          <w:tcPr>
            <w:tcW w:w="559" w:type="dxa"/>
          </w:tcPr>
          <w:p w14:paraId="5EC9DE14" w14:textId="77777777" w:rsidR="003F1D9A" w:rsidRPr="003F7106" w:rsidRDefault="003F1D9A" w:rsidP="003F1D9A">
            <w:pPr>
              <w:pStyle w:val="Akapitzlist"/>
              <w:numPr>
                <w:ilvl w:val="0"/>
                <w:numId w:val="3"/>
              </w:numPr>
              <w:rPr>
                <w:b/>
              </w:rPr>
            </w:pPr>
          </w:p>
        </w:tc>
        <w:tc>
          <w:tcPr>
            <w:tcW w:w="1131" w:type="dxa"/>
          </w:tcPr>
          <w:p w14:paraId="01598601" w14:textId="4C76C5CE" w:rsidR="003F1D9A" w:rsidRPr="00F25CCA" w:rsidRDefault="003F1D9A" w:rsidP="003F1D9A">
            <w:pPr>
              <w:ind w:right="61"/>
              <w:jc w:val="center"/>
              <w:rPr>
                <w:b/>
                <w:i w:val="0"/>
              </w:rPr>
            </w:pPr>
            <w:r>
              <w:rPr>
                <w:rFonts w:asciiTheme="minorHAnsi" w:hAnsiTheme="minorHAnsi" w:cstheme="minorHAnsi"/>
                <w:b/>
                <w:szCs w:val="22"/>
              </w:rPr>
              <w:t>MC</w:t>
            </w:r>
          </w:p>
        </w:tc>
        <w:tc>
          <w:tcPr>
            <w:tcW w:w="1835" w:type="dxa"/>
          </w:tcPr>
          <w:p w14:paraId="62767495" w14:textId="038F46AF" w:rsidR="003F1D9A" w:rsidRDefault="003F1D9A" w:rsidP="003F1D9A">
            <w:pPr>
              <w:spacing w:line="240" w:lineRule="auto"/>
              <w:jc w:val="center"/>
              <w:rPr>
                <w:i w:val="0"/>
                <w:szCs w:val="22"/>
              </w:rPr>
            </w:pPr>
            <w:r>
              <w:rPr>
                <w:rFonts w:asciiTheme="minorHAnsi" w:hAnsiTheme="minorHAnsi" w:cstheme="minorHAnsi"/>
                <w:szCs w:val="22"/>
              </w:rPr>
              <w:t>Uwaga ogólna</w:t>
            </w:r>
          </w:p>
        </w:tc>
        <w:tc>
          <w:tcPr>
            <w:tcW w:w="3370" w:type="dxa"/>
          </w:tcPr>
          <w:p w14:paraId="2A9748B2" w14:textId="77777777" w:rsidR="003F1D9A" w:rsidRPr="00F40309" w:rsidRDefault="003F1D9A" w:rsidP="003F1D9A">
            <w:pPr>
              <w:jc w:val="both"/>
              <w:rPr>
                <w:rFonts w:asciiTheme="minorHAnsi" w:hAnsiTheme="minorHAnsi" w:cstheme="minorHAnsi"/>
                <w:i w:val="0"/>
                <w:iCs/>
                <w:szCs w:val="22"/>
              </w:rPr>
            </w:pPr>
            <w:r w:rsidRPr="002B06F1">
              <w:rPr>
                <w:rFonts w:asciiTheme="minorHAnsi" w:hAnsiTheme="minorHAnsi" w:cstheme="minorHAnsi"/>
                <w:szCs w:val="22"/>
              </w:rPr>
              <w:t xml:space="preserve">Proszę o informację, jakie jest uzasadnienie dla rozdzielenia projektów </w:t>
            </w:r>
            <w:r w:rsidRPr="00F40309">
              <w:rPr>
                <w:rFonts w:asciiTheme="minorHAnsi" w:hAnsiTheme="minorHAnsi" w:cstheme="minorHAnsi"/>
                <w:iCs/>
                <w:szCs w:val="22"/>
              </w:rPr>
              <w:t>„</w:t>
            </w:r>
            <w:proofErr w:type="spellStart"/>
            <w:r w:rsidRPr="00F40309">
              <w:rPr>
                <w:rFonts w:asciiTheme="minorHAnsi" w:hAnsiTheme="minorHAnsi" w:cstheme="minorHAnsi"/>
                <w:iCs/>
                <w:szCs w:val="22"/>
              </w:rPr>
              <w:t>mLekarz</w:t>
            </w:r>
            <w:proofErr w:type="spellEnd"/>
            <w:r w:rsidRPr="00F40309">
              <w:rPr>
                <w:rFonts w:asciiTheme="minorHAnsi" w:hAnsiTheme="minorHAnsi" w:cstheme="minorHAnsi"/>
                <w:iCs/>
                <w:szCs w:val="22"/>
              </w:rPr>
              <w:t xml:space="preserve"> – kompleksowa cyfryzacja procesów obsługi członków Okręgowej Izby Lekarskiej w Warszawie”</w:t>
            </w:r>
            <w:r w:rsidRPr="002B06F1">
              <w:rPr>
                <w:rFonts w:asciiTheme="minorHAnsi" w:hAnsiTheme="minorHAnsi" w:cstheme="minorHAnsi"/>
                <w:szCs w:val="22"/>
              </w:rPr>
              <w:t xml:space="preserve"> i </w:t>
            </w:r>
            <w:r w:rsidRPr="00F40309">
              <w:rPr>
                <w:rFonts w:asciiTheme="minorHAnsi" w:hAnsiTheme="minorHAnsi" w:cstheme="minorHAnsi"/>
                <w:iCs/>
                <w:szCs w:val="22"/>
              </w:rPr>
              <w:t>„Wirtualny Dziekanat Stażu Podyplomowego – pilotażowy system cyfrowej obsługi lekarzy stażystów w Okręgowej Izbie Lekarskiej</w:t>
            </w:r>
          </w:p>
          <w:p w14:paraId="75635603" w14:textId="08CC9315" w:rsidR="003F1D9A" w:rsidRDefault="003F1D9A" w:rsidP="003F1D9A">
            <w:pPr>
              <w:spacing w:after="160"/>
              <w:contextualSpacing/>
              <w:jc w:val="left"/>
              <w:rPr>
                <w:rFonts w:eastAsia="Aptos"/>
                <w:i w:val="0"/>
                <w:color w:val="auto"/>
                <w:szCs w:val="22"/>
                <w:lang w:eastAsia="en-US"/>
              </w:rPr>
            </w:pPr>
            <w:r w:rsidRPr="00F40309">
              <w:rPr>
                <w:rFonts w:asciiTheme="minorHAnsi" w:hAnsiTheme="minorHAnsi" w:cstheme="minorHAnsi"/>
                <w:iCs/>
                <w:szCs w:val="22"/>
              </w:rPr>
              <w:t>w Warszawie”</w:t>
            </w:r>
            <w:r w:rsidRPr="002B06F1">
              <w:rPr>
                <w:rFonts w:asciiTheme="minorHAnsi" w:hAnsiTheme="minorHAnsi" w:cstheme="minorHAnsi"/>
                <w:szCs w:val="22"/>
              </w:rPr>
              <w:t>?</w:t>
            </w:r>
          </w:p>
        </w:tc>
        <w:tc>
          <w:tcPr>
            <w:tcW w:w="2700" w:type="dxa"/>
          </w:tcPr>
          <w:p w14:paraId="7EE7AD3E" w14:textId="77777777" w:rsidR="003F1D9A" w:rsidRPr="00F25CCA" w:rsidRDefault="003F1D9A" w:rsidP="003F1D9A">
            <w:pPr>
              <w:jc w:val="center"/>
              <w:rPr>
                <w:i w:val="0"/>
                <w:iCs/>
                <w:szCs w:val="22"/>
              </w:rPr>
            </w:pPr>
          </w:p>
        </w:tc>
        <w:tc>
          <w:tcPr>
            <w:tcW w:w="5962" w:type="dxa"/>
          </w:tcPr>
          <w:p w14:paraId="2B334BDF" w14:textId="77777777" w:rsidR="003F1D9A" w:rsidRPr="00A06425" w:rsidRDefault="003F1D9A" w:rsidP="003F1D9A">
            <w:pPr>
              <w:spacing w:after="160" w:line="276" w:lineRule="auto"/>
              <w:rPr>
                <w:szCs w:val="22"/>
              </w:rPr>
            </w:pPr>
            <w:r w:rsidRPr="7DF68A19">
              <w:rPr>
                <w:szCs w:val="22"/>
              </w:rPr>
              <w:t>Pierwotne rozdzielenie projektów „</w:t>
            </w:r>
            <w:proofErr w:type="spellStart"/>
            <w:r w:rsidRPr="7DF68A19">
              <w:rPr>
                <w:szCs w:val="22"/>
              </w:rPr>
              <w:t>mLekarz</w:t>
            </w:r>
            <w:proofErr w:type="spellEnd"/>
            <w:r w:rsidRPr="7DF68A19">
              <w:rPr>
                <w:szCs w:val="22"/>
              </w:rPr>
              <w:t xml:space="preserve"> – kompleksowa cyfryzacja procesów obsługi członków Okręgowej Izby Lekarskiej w Warszawie” oraz „Wirtualny Dziekanat Stażu Podyplomowego - pilotażowy system cyfrowej obsługi lekarzy stażystów w Okręgowej Izbie Lekarskiej w Warszawie” było decyzją strategiczną, wynikającą z zasad zarządzania ryzykiem regulacyjnym i organizacyjnym.</w:t>
            </w:r>
            <w:r w:rsidRPr="7DF68A19">
              <w:rPr>
                <w:rFonts w:ascii="Aptos" w:eastAsia="Aptos" w:hAnsi="Aptos" w:cs="Aptos"/>
              </w:rPr>
              <w:t xml:space="preserve"> </w:t>
            </w:r>
            <w:r w:rsidRPr="7DF68A19">
              <w:rPr>
                <w:szCs w:val="22"/>
              </w:rPr>
              <w:t xml:space="preserve">Procesy objęte projektem </w:t>
            </w:r>
            <w:proofErr w:type="spellStart"/>
            <w:r w:rsidRPr="7DF68A19">
              <w:rPr>
                <w:szCs w:val="22"/>
              </w:rPr>
              <w:t>mLekarz</w:t>
            </w:r>
            <w:proofErr w:type="spellEnd"/>
            <w:r w:rsidRPr="7DF68A19">
              <w:rPr>
                <w:szCs w:val="22"/>
              </w:rPr>
              <w:t xml:space="preserve"> oraz Wirtualny Dziekanat mają charakter trwały i systemowy, wynikający z ustawowych zadań izb lekarskich. Na etapie przygotowania projektu w przestrzeni publicznej pojawiały się informacje o możliwych zmianach w modelu stażu podyplomowego, co uzasadniało ostrożne podejście projektowe. </w:t>
            </w:r>
            <w:r w:rsidRPr="7DF68A19">
              <w:rPr>
                <w:rFonts w:asciiTheme="minorHAnsi" w:eastAsiaTheme="minorEastAsia" w:hAnsiTheme="minorHAnsi" w:cstheme="minorBidi"/>
                <w:szCs w:val="22"/>
              </w:rPr>
              <w:t>Aktualnie utrzymanie stażu podyplomowego zostało potwierdzone</w:t>
            </w:r>
            <w:r w:rsidRPr="7DF68A19">
              <w:rPr>
                <w:szCs w:val="22"/>
              </w:rPr>
              <w:t xml:space="preserve">, co zmniejsza ryzyko regulacyjne. Staż podyplomowy pozostaje stałym elementem ścieżki zawodowej lekarza i powinien być obsługiwany w sposób zintegrowany z pozostałymi procesami systemu </w:t>
            </w:r>
            <w:proofErr w:type="spellStart"/>
            <w:r w:rsidRPr="7DF68A19">
              <w:rPr>
                <w:szCs w:val="22"/>
              </w:rPr>
              <w:t>mLekarz</w:t>
            </w:r>
            <w:proofErr w:type="spellEnd"/>
            <w:r w:rsidRPr="7DF68A19">
              <w:rPr>
                <w:szCs w:val="22"/>
              </w:rPr>
              <w:t>.</w:t>
            </w:r>
          </w:p>
          <w:p w14:paraId="69F2692D" w14:textId="77777777" w:rsidR="003F1D9A" w:rsidRPr="00A06425" w:rsidRDefault="003F1D9A" w:rsidP="003F1D9A">
            <w:pPr>
              <w:spacing w:before="240" w:after="240"/>
              <w:rPr>
                <w:szCs w:val="22"/>
              </w:rPr>
            </w:pPr>
            <w:r w:rsidRPr="7DF68A19">
              <w:rPr>
                <w:szCs w:val="22"/>
              </w:rPr>
              <w:t xml:space="preserve">W związku z powyższym podjęto decyzję o połączeniu zakresów obu inicjatyw w ramach jednego projektu systemowego </w:t>
            </w:r>
            <w:proofErr w:type="spellStart"/>
            <w:r w:rsidRPr="7DF68A19">
              <w:rPr>
                <w:szCs w:val="22"/>
              </w:rPr>
              <w:t>mLekarz</w:t>
            </w:r>
            <w:proofErr w:type="spellEnd"/>
            <w:r w:rsidRPr="7DF68A19">
              <w:rPr>
                <w:szCs w:val="22"/>
              </w:rPr>
              <w:t xml:space="preserve">, </w:t>
            </w:r>
            <w:r w:rsidRPr="7DF68A19">
              <w:rPr>
                <w:szCs w:val="22"/>
              </w:rPr>
              <w:lastRenderedPageBreak/>
              <w:t>przy zachowaniu modułowego podejścia do realizacji. Pozwala to na zapewnienie spójnej architektury, jednolitego modelu danych oraz efektywnego wykorzystania infrastruktury.</w:t>
            </w:r>
          </w:p>
          <w:p w14:paraId="18EE22FB" w14:textId="77777777" w:rsidR="003F1D9A" w:rsidRPr="21C26366" w:rsidRDefault="003F1D9A" w:rsidP="003F1D9A">
            <w:pPr>
              <w:jc w:val="left"/>
              <w:rPr>
                <w:rFonts w:eastAsia="Aptos"/>
                <w:i w:val="0"/>
                <w:color w:val="000000" w:themeColor="text1"/>
              </w:rPr>
            </w:pPr>
          </w:p>
        </w:tc>
      </w:tr>
      <w:tr w:rsidR="003F1D9A" w14:paraId="45EF25A1" w14:textId="77777777" w:rsidTr="003F1D9A">
        <w:trPr>
          <w:trHeight w:val="840"/>
        </w:trPr>
        <w:tc>
          <w:tcPr>
            <w:tcW w:w="559" w:type="dxa"/>
          </w:tcPr>
          <w:p w14:paraId="3437A8E1" w14:textId="77777777" w:rsidR="003F1D9A" w:rsidRPr="003F7106" w:rsidRDefault="003F1D9A" w:rsidP="003F1D9A">
            <w:pPr>
              <w:pStyle w:val="Akapitzlist"/>
              <w:numPr>
                <w:ilvl w:val="0"/>
                <w:numId w:val="3"/>
              </w:numPr>
              <w:rPr>
                <w:b/>
              </w:rPr>
            </w:pPr>
          </w:p>
        </w:tc>
        <w:tc>
          <w:tcPr>
            <w:tcW w:w="1131" w:type="dxa"/>
          </w:tcPr>
          <w:p w14:paraId="56568619" w14:textId="13B9C1E9" w:rsidR="003F1D9A" w:rsidRPr="00F25CCA" w:rsidRDefault="003F1D9A" w:rsidP="003F1D9A">
            <w:pPr>
              <w:ind w:right="61"/>
              <w:jc w:val="center"/>
              <w:rPr>
                <w:b/>
                <w:i w:val="0"/>
              </w:rPr>
            </w:pPr>
            <w:r>
              <w:rPr>
                <w:rFonts w:asciiTheme="minorHAnsi" w:hAnsiTheme="minorHAnsi" w:cstheme="minorHAnsi"/>
                <w:b/>
                <w:szCs w:val="22"/>
              </w:rPr>
              <w:t>MC</w:t>
            </w:r>
          </w:p>
        </w:tc>
        <w:tc>
          <w:tcPr>
            <w:tcW w:w="1835" w:type="dxa"/>
          </w:tcPr>
          <w:p w14:paraId="50634D11" w14:textId="5850C3F6" w:rsidR="003F1D9A" w:rsidRDefault="003F1D9A" w:rsidP="003F1D9A">
            <w:pPr>
              <w:spacing w:line="240" w:lineRule="auto"/>
              <w:jc w:val="center"/>
              <w:rPr>
                <w:i w:val="0"/>
                <w:szCs w:val="22"/>
              </w:rPr>
            </w:pPr>
            <w:r>
              <w:rPr>
                <w:rFonts w:asciiTheme="minorHAnsi" w:hAnsiTheme="minorHAnsi" w:cstheme="minorHAnsi"/>
                <w:szCs w:val="22"/>
              </w:rPr>
              <w:t>Uwaga ogólna</w:t>
            </w:r>
          </w:p>
        </w:tc>
        <w:tc>
          <w:tcPr>
            <w:tcW w:w="3370" w:type="dxa"/>
          </w:tcPr>
          <w:p w14:paraId="0C9052CE" w14:textId="2D7A96AD" w:rsidR="003F1D9A" w:rsidRDefault="003F1D9A" w:rsidP="003F1D9A">
            <w:pPr>
              <w:spacing w:after="160"/>
              <w:contextualSpacing/>
              <w:jc w:val="left"/>
              <w:rPr>
                <w:rFonts w:eastAsia="Aptos"/>
                <w:i w:val="0"/>
                <w:color w:val="auto"/>
                <w:szCs w:val="22"/>
                <w:lang w:eastAsia="en-US"/>
              </w:rPr>
            </w:pPr>
            <w:r w:rsidRPr="7DF68A19">
              <w:rPr>
                <w:rFonts w:asciiTheme="minorHAnsi" w:hAnsiTheme="minorHAnsi" w:cstheme="minorBidi"/>
                <w:szCs w:val="22"/>
              </w:rPr>
              <w:t xml:space="preserve">Z projektu wynika, że będą w ramach jego realizacji przetwarzane dane osobowe. Lista systemów wykorzystywanych w projekcie obejmuje 20 pozycji. Z uwagi na </w:t>
            </w:r>
            <w:proofErr w:type="gramStart"/>
            <w:r w:rsidRPr="7DF68A19">
              <w:rPr>
                <w:rFonts w:asciiTheme="minorHAnsi" w:hAnsiTheme="minorHAnsi" w:cstheme="minorBidi"/>
                <w:szCs w:val="22"/>
              </w:rPr>
              <w:t>powyższe opis</w:t>
            </w:r>
            <w:proofErr w:type="gramEnd"/>
            <w:r w:rsidRPr="7DF68A19">
              <w:rPr>
                <w:rFonts w:asciiTheme="minorHAnsi" w:hAnsiTheme="minorHAnsi" w:cstheme="minorBidi"/>
                <w:szCs w:val="22"/>
              </w:rPr>
              <w:t xml:space="preserve"> założeń wymaga uzupełnienia o ocenę skutków dla ochrony danych osobowych, o której mowa w art. 35 RODO i uzupełnienia </w:t>
            </w:r>
            <w:proofErr w:type="spellStart"/>
            <w:r w:rsidRPr="7DF68A19">
              <w:rPr>
                <w:rFonts w:asciiTheme="minorHAnsi" w:hAnsiTheme="minorHAnsi" w:cstheme="minorBidi"/>
                <w:szCs w:val="22"/>
              </w:rPr>
              <w:t>ryzyk</w:t>
            </w:r>
            <w:proofErr w:type="spellEnd"/>
            <w:r w:rsidRPr="7DF68A19">
              <w:rPr>
                <w:rFonts w:asciiTheme="minorHAnsi" w:hAnsiTheme="minorHAnsi" w:cstheme="minorBidi"/>
                <w:szCs w:val="22"/>
              </w:rPr>
              <w:t xml:space="preserve"> wpływających na realizację projektu np.: podatności dotyczących bezpieczeństwa dla nowego systemu, które mogą mieć wpływ na bezpieczeństwo danych w systemie lub osób, których te dane dotyczą.</w:t>
            </w:r>
          </w:p>
        </w:tc>
        <w:tc>
          <w:tcPr>
            <w:tcW w:w="2700" w:type="dxa"/>
          </w:tcPr>
          <w:p w14:paraId="17C56335" w14:textId="77777777" w:rsidR="003F1D9A" w:rsidRPr="00F25CCA" w:rsidRDefault="003F1D9A" w:rsidP="003F1D9A">
            <w:pPr>
              <w:jc w:val="center"/>
              <w:rPr>
                <w:i w:val="0"/>
                <w:iCs/>
                <w:szCs w:val="22"/>
              </w:rPr>
            </w:pPr>
          </w:p>
        </w:tc>
        <w:tc>
          <w:tcPr>
            <w:tcW w:w="5962" w:type="dxa"/>
          </w:tcPr>
          <w:p w14:paraId="52F32A50" w14:textId="77777777" w:rsidR="003F1D9A" w:rsidRPr="00A06425" w:rsidRDefault="003F1D9A" w:rsidP="003F1D9A">
            <w:pPr>
              <w:spacing w:before="240" w:after="240"/>
            </w:pPr>
            <w:r w:rsidRPr="7DF68A19">
              <w:rPr>
                <w:szCs w:val="22"/>
              </w:rPr>
              <w:t xml:space="preserve">Projekt </w:t>
            </w:r>
            <w:proofErr w:type="spellStart"/>
            <w:r w:rsidRPr="7DF68A19">
              <w:rPr>
                <w:szCs w:val="22"/>
              </w:rPr>
              <w:t>mLekarz</w:t>
            </w:r>
            <w:proofErr w:type="spellEnd"/>
            <w:r w:rsidRPr="7DF68A19">
              <w:rPr>
                <w:szCs w:val="22"/>
              </w:rPr>
              <w:t xml:space="preserve"> zakłada przetwarzanie danych osobowych oraz integrację z wieloma systemami zewnętrznymi, dlatego ochrona danych i bezpieczeństwo informacji zostały uwzględnione już na etapie projektowania rozwiązania, zgodnie z art. 35 RODO oraz zasadami </w:t>
            </w:r>
            <w:proofErr w:type="spellStart"/>
            <w:r w:rsidRPr="7DF68A19">
              <w:rPr>
                <w:iCs/>
                <w:szCs w:val="22"/>
              </w:rPr>
              <w:t>privacy</w:t>
            </w:r>
            <w:proofErr w:type="spellEnd"/>
            <w:r w:rsidRPr="7DF68A19">
              <w:rPr>
                <w:iCs/>
                <w:szCs w:val="22"/>
              </w:rPr>
              <w:t xml:space="preserve"> by design</w:t>
            </w:r>
            <w:r w:rsidRPr="7DF68A19">
              <w:rPr>
                <w:szCs w:val="22"/>
              </w:rPr>
              <w:t xml:space="preserve"> i </w:t>
            </w:r>
            <w:proofErr w:type="spellStart"/>
            <w:r w:rsidRPr="7DF68A19">
              <w:rPr>
                <w:iCs/>
                <w:szCs w:val="22"/>
              </w:rPr>
              <w:t>security</w:t>
            </w:r>
            <w:proofErr w:type="spellEnd"/>
            <w:r w:rsidRPr="7DF68A19">
              <w:rPr>
                <w:iCs/>
                <w:szCs w:val="22"/>
              </w:rPr>
              <w:t xml:space="preserve"> by design</w:t>
            </w:r>
            <w:r w:rsidRPr="7DF68A19">
              <w:rPr>
                <w:szCs w:val="22"/>
              </w:rPr>
              <w:t>. Projekt nie przewiduje wprowadzania nowych źródeł danych ani rozszerzania zakresu przetwarzanych kategorii danych osobowych – przetwarzanie dotyczy wyłącznie danych już wykorzystywanych przez samorząd lekarski w ramach realizacji ustawowych zadań. W pierwszym etapie realizacji projektu przewidziano opracowanie dokumentacji analizy procesów, obejmującej identyfikację przepływów danych oraz wymagań bezpieczeństwa.</w:t>
            </w:r>
          </w:p>
          <w:p w14:paraId="55AB1322" w14:textId="77777777" w:rsidR="003F1D9A" w:rsidRPr="00A06425" w:rsidRDefault="003F1D9A" w:rsidP="003F1D9A">
            <w:pPr>
              <w:spacing w:before="240" w:after="240"/>
            </w:pPr>
            <w:r w:rsidRPr="7DF68A19">
              <w:rPr>
                <w:szCs w:val="22"/>
              </w:rPr>
              <w:t>Na podstawie wyników tej analizy zaplanowano przeprowadzenie inicjalnego testu prywatności, w tym wykonanie oceny skutków dla ochrony danych osobowych (DPIA) lub innej adekwatnej formy oceny – w zależności od zidentyfikowanego poziomu ryzyka.</w:t>
            </w:r>
          </w:p>
          <w:p w14:paraId="1F09D18D" w14:textId="77777777" w:rsidR="003F1D9A" w:rsidRPr="00A06425" w:rsidRDefault="003F1D9A" w:rsidP="003F1D9A">
            <w:pPr>
              <w:spacing w:before="240" w:after="240"/>
              <w:rPr>
                <w:szCs w:val="22"/>
              </w:rPr>
            </w:pPr>
          </w:p>
          <w:p w14:paraId="0A7BAED7" w14:textId="77777777" w:rsidR="003F1D9A" w:rsidRPr="21C26366" w:rsidRDefault="003F1D9A" w:rsidP="003F1D9A">
            <w:pPr>
              <w:jc w:val="left"/>
              <w:rPr>
                <w:rFonts w:eastAsia="Aptos"/>
                <w:i w:val="0"/>
                <w:color w:val="000000" w:themeColor="text1"/>
              </w:rPr>
            </w:pPr>
          </w:p>
        </w:tc>
      </w:tr>
      <w:tr w:rsidR="003F1D9A" w14:paraId="59799FFD" w14:textId="77777777" w:rsidTr="003F1D9A">
        <w:trPr>
          <w:trHeight w:val="840"/>
        </w:trPr>
        <w:tc>
          <w:tcPr>
            <w:tcW w:w="559" w:type="dxa"/>
          </w:tcPr>
          <w:p w14:paraId="02835BD2" w14:textId="77777777" w:rsidR="003F1D9A" w:rsidRPr="003F7106" w:rsidRDefault="003F1D9A" w:rsidP="003F1D9A">
            <w:pPr>
              <w:pStyle w:val="Akapitzlist"/>
              <w:numPr>
                <w:ilvl w:val="0"/>
                <w:numId w:val="3"/>
              </w:numPr>
              <w:rPr>
                <w:b/>
              </w:rPr>
            </w:pPr>
          </w:p>
        </w:tc>
        <w:tc>
          <w:tcPr>
            <w:tcW w:w="1131" w:type="dxa"/>
          </w:tcPr>
          <w:p w14:paraId="046641F6" w14:textId="56B8CBAA" w:rsidR="003F1D9A" w:rsidRPr="00F25CCA" w:rsidRDefault="003F1D9A" w:rsidP="003F1D9A">
            <w:pPr>
              <w:ind w:right="61"/>
              <w:jc w:val="center"/>
              <w:rPr>
                <w:b/>
                <w:i w:val="0"/>
              </w:rPr>
            </w:pPr>
            <w:r>
              <w:rPr>
                <w:rFonts w:asciiTheme="minorHAnsi" w:hAnsiTheme="minorHAnsi" w:cstheme="minorHAnsi"/>
                <w:b/>
                <w:szCs w:val="22"/>
              </w:rPr>
              <w:t>MC</w:t>
            </w:r>
          </w:p>
        </w:tc>
        <w:tc>
          <w:tcPr>
            <w:tcW w:w="1835" w:type="dxa"/>
          </w:tcPr>
          <w:p w14:paraId="61FD3676" w14:textId="0A6A1081" w:rsidR="003F1D9A" w:rsidRDefault="003F1D9A" w:rsidP="003F1D9A">
            <w:pPr>
              <w:spacing w:line="240" w:lineRule="auto"/>
              <w:jc w:val="center"/>
              <w:rPr>
                <w:i w:val="0"/>
                <w:szCs w:val="22"/>
              </w:rPr>
            </w:pPr>
            <w:r w:rsidRPr="00EA18AA">
              <w:rPr>
                <w:rFonts w:asciiTheme="minorHAnsi" w:hAnsiTheme="minorHAnsi" w:cstheme="minorHAnsi"/>
                <w:szCs w:val="22"/>
              </w:rPr>
              <w:t>5.</w:t>
            </w:r>
            <w:r>
              <w:rPr>
                <w:rFonts w:asciiTheme="minorHAnsi" w:hAnsiTheme="minorHAnsi" w:cstheme="minorHAnsi"/>
                <w:szCs w:val="22"/>
              </w:rPr>
              <w:t>1</w:t>
            </w:r>
            <w:r w:rsidRPr="00EA18AA">
              <w:rPr>
                <w:rFonts w:asciiTheme="minorHAnsi" w:hAnsiTheme="minorHAnsi" w:cstheme="minorHAnsi"/>
                <w:szCs w:val="22"/>
              </w:rPr>
              <w:t xml:space="preserve">. Ryzyka wpływające na </w:t>
            </w:r>
            <w:r>
              <w:rPr>
                <w:rFonts w:asciiTheme="minorHAnsi" w:hAnsiTheme="minorHAnsi" w:cstheme="minorHAnsi"/>
                <w:szCs w:val="22"/>
              </w:rPr>
              <w:t>realizację projektu</w:t>
            </w:r>
          </w:p>
        </w:tc>
        <w:tc>
          <w:tcPr>
            <w:tcW w:w="3370" w:type="dxa"/>
          </w:tcPr>
          <w:p w14:paraId="4A1F3143" w14:textId="2207CCE1" w:rsidR="003F1D9A" w:rsidRDefault="003F1D9A" w:rsidP="003F1D9A">
            <w:pPr>
              <w:spacing w:after="160"/>
              <w:contextualSpacing/>
              <w:jc w:val="left"/>
              <w:rPr>
                <w:rFonts w:eastAsia="Aptos"/>
                <w:i w:val="0"/>
                <w:color w:val="auto"/>
                <w:szCs w:val="22"/>
                <w:lang w:eastAsia="en-US"/>
              </w:rPr>
            </w:pPr>
            <w:r>
              <w:rPr>
                <w:rFonts w:asciiTheme="minorHAnsi" w:hAnsiTheme="minorHAnsi" w:cstheme="minorHAnsi"/>
                <w:szCs w:val="22"/>
              </w:rPr>
              <w:t xml:space="preserve">Jako ryzyko wpływając na utrzymanie efektów wskazano </w:t>
            </w:r>
            <w:r w:rsidRPr="002A42EC">
              <w:rPr>
                <w:rFonts w:asciiTheme="minorHAnsi" w:hAnsiTheme="minorHAnsi" w:cstheme="minorHAnsi"/>
                <w:iCs/>
                <w:szCs w:val="22"/>
              </w:rPr>
              <w:t>Ryzyko naruszeń bezpieczeństwa danych (dane osobowe i medyczne)</w:t>
            </w:r>
            <w:r>
              <w:rPr>
                <w:rFonts w:asciiTheme="minorHAnsi" w:hAnsiTheme="minorHAnsi" w:cstheme="minorHAnsi"/>
                <w:iCs/>
                <w:szCs w:val="22"/>
              </w:rPr>
              <w:t>,</w:t>
            </w:r>
            <w:r>
              <w:rPr>
                <w:rFonts w:asciiTheme="minorHAnsi" w:hAnsiTheme="minorHAnsi" w:cstheme="minorHAnsi"/>
                <w:szCs w:val="22"/>
              </w:rPr>
              <w:t xml:space="preserve"> jako środek zaradczy wskazano: </w:t>
            </w:r>
            <w:r w:rsidRPr="00EA18AA">
              <w:rPr>
                <w:rFonts w:asciiTheme="minorHAnsi" w:hAnsiTheme="minorHAnsi" w:cstheme="minorHAnsi"/>
                <w:szCs w:val="22"/>
              </w:rPr>
              <w:t>Wdrożenie polityk bezpieczeństwa, certyfikowanych rozwiązań, regularne testy penetracyjne i audyty RODO</w:t>
            </w:r>
            <w:r>
              <w:rPr>
                <w:rFonts w:asciiTheme="minorHAnsi" w:hAnsiTheme="minorHAnsi" w:cstheme="minorHAnsi"/>
                <w:szCs w:val="22"/>
              </w:rPr>
              <w:t>.</w:t>
            </w:r>
          </w:p>
        </w:tc>
        <w:tc>
          <w:tcPr>
            <w:tcW w:w="2700" w:type="dxa"/>
          </w:tcPr>
          <w:p w14:paraId="29B1B12E" w14:textId="204B8711" w:rsidR="003F1D9A" w:rsidRPr="00F25CCA" w:rsidRDefault="003F1D9A" w:rsidP="003F1D9A">
            <w:pPr>
              <w:jc w:val="center"/>
              <w:rPr>
                <w:i w:val="0"/>
                <w:iCs/>
                <w:szCs w:val="22"/>
              </w:rPr>
            </w:pPr>
            <w:r w:rsidRPr="00EA18AA">
              <w:rPr>
                <w:rFonts w:asciiTheme="minorHAnsi" w:hAnsiTheme="minorHAnsi" w:cstheme="minorHAnsi"/>
                <w:szCs w:val="22"/>
              </w:rPr>
              <w:t xml:space="preserve">W ocenie </w:t>
            </w:r>
            <w:r>
              <w:rPr>
                <w:rFonts w:asciiTheme="minorHAnsi" w:hAnsiTheme="minorHAnsi" w:cstheme="minorHAnsi"/>
                <w:szCs w:val="22"/>
              </w:rPr>
              <w:t xml:space="preserve">MC </w:t>
            </w:r>
            <w:r w:rsidRPr="00EA18AA">
              <w:rPr>
                <w:rFonts w:asciiTheme="minorHAnsi" w:hAnsiTheme="minorHAnsi" w:cstheme="minorHAnsi"/>
                <w:szCs w:val="22"/>
              </w:rPr>
              <w:t xml:space="preserve">konieczne jest wdrożenie procesu zarządzania tymi </w:t>
            </w:r>
            <w:proofErr w:type="spellStart"/>
            <w:r w:rsidRPr="00EA18AA">
              <w:rPr>
                <w:rFonts w:asciiTheme="minorHAnsi" w:hAnsiTheme="minorHAnsi" w:cstheme="minorHAnsi"/>
                <w:szCs w:val="22"/>
              </w:rPr>
              <w:t>ryzykami</w:t>
            </w:r>
            <w:proofErr w:type="spellEnd"/>
            <w:r w:rsidRPr="00EA18AA">
              <w:rPr>
                <w:rFonts w:asciiTheme="minorHAnsi" w:hAnsiTheme="minorHAnsi" w:cstheme="minorHAnsi"/>
                <w:szCs w:val="22"/>
              </w:rPr>
              <w:t xml:space="preserve"> np. stosowanie zasady </w:t>
            </w:r>
            <w:proofErr w:type="spellStart"/>
            <w:r w:rsidRPr="00EA18AA">
              <w:rPr>
                <w:rFonts w:asciiTheme="minorHAnsi" w:hAnsiTheme="minorHAnsi" w:cstheme="minorHAnsi"/>
                <w:szCs w:val="22"/>
              </w:rPr>
              <w:t>privacy</w:t>
            </w:r>
            <w:proofErr w:type="spellEnd"/>
            <w:r w:rsidRPr="00EA18AA">
              <w:rPr>
                <w:rFonts w:asciiTheme="minorHAnsi" w:hAnsiTheme="minorHAnsi" w:cstheme="minorHAnsi"/>
                <w:szCs w:val="22"/>
              </w:rPr>
              <w:t xml:space="preserve"> by design na każdym etapie projektu, zaangażowanie </w:t>
            </w:r>
            <w:r>
              <w:rPr>
                <w:rFonts w:asciiTheme="minorHAnsi" w:hAnsiTheme="minorHAnsi" w:cstheme="minorHAnsi"/>
                <w:szCs w:val="22"/>
              </w:rPr>
              <w:t xml:space="preserve">w prace nad projektem </w:t>
            </w:r>
            <w:r w:rsidRPr="00EA18AA">
              <w:rPr>
                <w:rFonts w:asciiTheme="minorHAnsi" w:hAnsiTheme="minorHAnsi" w:cstheme="minorHAnsi"/>
                <w:szCs w:val="22"/>
              </w:rPr>
              <w:t xml:space="preserve">IOD MZ, identyfikowanie podatności dot.  bezpieczeństwa dla systemu oraz prowadzenie regularnych audytów </w:t>
            </w:r>
            <w:r>
              <w:rPr>
                <w:rFonts w:asciiTheme="minorHAnsi" w:hAnsiTheme="minorHAnsi" w:cstheme="minorHAnsi"/>
                <w:szCs w:val="22"/>
              </w:rPr>
              <w:t xml:space="preserve">oprócz RODO także audytów </w:t>
            </w:r>
            <w:r w:rsidRPr="00EA18AA">
              <w:rPr>
                <w:rFonts w:asciiTheme="minorHAnsi" w:hAnsiTheme="minorHAnsi" w:cstheme="minorHAnsi"/>
                <w:szCs w:val="22"/>
              </w:rPr>
              <w:t>bezpieczeństwa.</w:t>
            </w:r>
          </w:p>
        </w:tc>
        <w:tc>
          <w:tcPr>
            <w:tcW w:w="5962" w:type="dxa"/>
          </w:tcPr>
          <w:p w14:paraId="20E70363" w14:textId="0C895AEA" w:rsidR="003F1D9A" w:rsidRPr="21C26366" w:rsidRDefault="003F1D9A" w:rsidP="003F1D9A">
            <w:pPr>
              <w:jc w:val="left"/>
              <w:rPr>
                <w:rFonts w:eastAsia="Aptos"/>
                <w:i w:val="0"/>
                <w:color w:val="000000" w:themeColor="text1"/>
              </w:rPr>
            </w:pPr>
            <w:r w:rsidRPr="7DF68A19">
              <w:rPr>
                <w:szCs w:val="22"/>
              </w:rPr>
              <w:t xml:space="preserve">Projekt przewiduje stosowanie zasady </w:t>
            </w:r>
            <w:proofErr w:type="spellStart"/>
            <w:r w:rsidRPr="7DF68A19">
              <w:rPr>
                <w:iCs/>
                <w:szCs w:val="22"/>
              </w:rPr>
              <w:t>security</w:t>
            </w:r>
            <w:proofErr w:type="spellEnd"/>
            <w:r w:rsidRPr="7DF68A19">
              <w:rPr>
                <w:iCs/>
                <w:szCs w:val="22"/>
              </w:rPr>
              <w:t xml:space="preserve"> by design</w:t>
            </w:r>
            <w:r w:rsidRPr="7DF68A19">
              <w:rPr>
                <w:szCs w:val="22"/>
              </w:rPr>
              <w:t xml:space="preserve"> oraz </w:t>
            </w:r>
            <w:proofErr w:type="spellStart"/>
            <w:r w:rsidRPr="7DF68A19">
              <w:rPr>
                <w:iCs/>
                <w:szCs w:val="22"/>
              </w:rPr>
              <w:t>privacy</w:t>
            </w:r>
            <w:proofErr w:type="spellEnd"/>
            <w:r w:rsidRPr="7DF68A19">
              <w:rPr>
                <w:iCs/>
                <w:szCs w:val="22"/>
              </w:rPr>
              <w:t xml:space="preserve"> by design</w:t>
            </w:r>
            <w:r w:rsidRPr="7DF68A19">
              <w:rPr>
                <w:szCs w:val="22"/>
              </w:rPr>
              <w:t xml:space="preserve"> na wszystkich etapach realizacji projektu. Ponadto w ramach prac projektowych przewidziano zaangażowanie Ministerstwa Zdrowia jako konsultanta, w szczególności w zakresie zgodności projektowanych rozwiązań z wymaganiami dotyczącymi przetwarzania danych oraz bezpieczeństwa informacji.</w:t>
            </w:r>
          </w:p>
        </w:tc>
      </w:tr>
      <w:tr w:rsidR="003F1D9A" w14:paraId="488F2823" w14:textId="77777777" w:rsidTr="003F1D9A">
        <w:trPr>
          <w:trHeight w:val="840"/>
        </w:trPr>
        <w:tc>
          <w:tcPr>
            <w:tcW w:w="559" w:type="dxa"/>
          </w:tcPr>
          <w:p w14:paraId="29FBA180" w14:textId="77777777" w:rsidR="003F1D9A" w:rsidRPr="003F7106" w:rsidRDefault="003F1D9A" w:rsidP="003F1D9A">
            <w:pPr>
              <w:pStyle w:val="Akapitzlist"/>
              <w:numPr>
                <w:ilvl w:val="0"/>
                <w:numId w:val="3"/>
              </w:numPr>
              <w:rPr>
                <w:b/>
              </w:rPr>
            </w:pPr>
          </w:p>
        </w:tc>
        <w:tc>
          <w:tcPr>
            <w:tcW w:w="1131" w:type="dxa"/>
          </w:tcPr>
          <w:p w14:paraId="356F7741" w14:textId="0C717E48" w:rsidR="003F1D9A" w:rsidRPr="00F25CCA" w:rsidRDefault="003F1D9A" w:rsidP="003F1D9A">
            <w:pPr>
              <w:ind w:right="61"/>
              <w:jc w:val="center"/>
              <w:rPr>
                <w:b/>
                <w:i w:val="0"/>
              </w:rPr>
            </w:pPr>
            <w:proofErr w:type="spellStart"/>
            <w:r>
              <w:rPr>
                <w:rFonts w:asciiTheme="minorHAnsi" w:hAnsiTheme="minorHAnsi" w:cstheme="minorHAnsi"/>
                <w:b/>
                <w:szCs w:val="22"/>
              </w:rPr>
              <w:t>MFiPR</w:t>
            </w:r>
            <w:proofErr w:type="spellEnd"/>
          </w:p>
        </w:tc>
        <w:tc>
          <w:tcPr>
            <w:tcW w:w="1835" w:type="dxa"/>
          </w:tcPr>
          <w:p w14:paraId="103EC498" w14:textId="79063744" w:rsidR="003F1D9A" w:rsidRDefault="003F1D9A" w:rsidP="003F1D9A">
            <w:pPr>
              <w:spacing w:line="240" w:lineRule="auto"/>
              <w:jc w:val="center"/>
              <w:rPr>
                <w:i w:val="0"/>
                <w:szCs w:val="22"/>
              </w:rPr>
            </w:pPr>
            <w:r>
              <w:rPr>
                <w:rFonts w:asciiTheme="minorHAnsi" w:hAnsiTheme="minorHAnsi" w:cstheme="minorHAnsi"/>
                <w:szCs w:val="22"/>
              </w:rPr>
              <w:t xml:space="preserve"> </w:t>
            </w:r>
          </w:p>
        </w:tc>
        <w:tc>
          <w:tcPr>
            <w:tcW w:w="3370" w:type="dxa"/>
          </w:tcPr>
          <w:p w14:paraId="5308B5BD" w14:textId="7E8324DC" w:rsidR="003F1D9A" w:rsidRDefault="003F1D9A" w:rsidP="003F1D9A">
            <w:pPr>
              <w:spacing w:after="160"/>
              <w:contextualSpacing/>
              <w:jc w:val="left"/>
              <w:rPr>
                <w:rFonts w:eastAsia="Aptos"/>
                <w:i w:val="0"/>
                <w:color w:val="auto"/>
                <w:szCs w:val="22"/>
                <w:lang w:eastAsia="en-US"/>
              </w:rPr>
            </w:pPr>
            <w:r>
              <w:rPr>
                <w:rFonts w:asciiTheme="minorHAnsi" w:hAnsiTheme="minorHAnsi" w:cstheme="minorHAnsi"/>
                <w:szCs w:val="22"/>
              </w:rPr>
              <w:t>Tytuł projektu: „</w:t>
            </w:r>
            <w:proofErr w:type="spellStart"/>
            <w:r w:rsidRPr="00BC2028">
              <w:rPr>
                <w:rFonts w:asciiTheme="minorHAnsi" w:hAnsiTheme="minorHAnsi" w:cstheme="minorHAnsi"/>
                <w:szCs w:val="22"/>
              </w:rPr>
              <w:t>mLekarz</w:t>
            </w:r>
            <w:proofErr w:type="spellEnd"/>
            <w:r w:rsidRPr="00BC2028">
              <w:rPr>
                <w:rFonts w:asciiTheme="minorHAnsi" w:hAnsiTheme="minorHAnsi" w:cstheme="minorHAnsi"/>
                <w:szCs w:val="22"/>
              </w:rPr>
              <w:t xml:space="preserve"> – kompleksowa cyfryzacja procesów obsługi członków</w:t>
            </w:r>
            <w:r>
              <w:rPr>
                <w:rFonts w:asciiTheme="minorHAnsi" w:hAnsiTheme="minorHAnsi" w:cstheme="minorHAnsi"/>
                <w:szCs w:val="22"/>
              </w:rPr>
              <w:t xml:space="preserve"> </w:t>
            </w:r>
            <w:r w:rsidRPr="00BC2028">
              <w:rPr>
                <w:rFonts w:asciiTheme="minorHAnsi" w:hAnsiTheme="minorHAnsi" w:cstheme="minorHAnsi"/>
                <w:szCs w:val="22"/>
              </w:rPr>
              <w:t>Okręgowej Izby Lekarskiej w Warszawie</w:t>
            </w:r>
            <w:r>
              <w:rPr>
                <w:rFonts w:asciiTheme="minorHAnsi" w:hAnsiTheme="minorHAnsi" w:cstheme="minorHAnsi"/>
                <w:szCs w:val="22"/>
              </w:rPr>
              <w:t>” oraz jego opis świadczą o tym, że projektowane e-usługi będą miały zasięg regionalny. Natomiast zgodnie ze wskazaniem zapisów programu w FERC wdrażane w programie e-usługi muszą mieć charakter ogólnokrajowy.</w:t>
            </w:r>
          </w:p>
        </w:tc>
        <w:tc>
          <w:tcPr>
            <w:tcW w:w="2700" w:type="dxa"/>
          </w:tcPr>
          <w:p w14:paraId="1030E82F" w14:textId="082A0130" w:rsidR="003F1D9A" w:rsidRPr="00F25CCA" w:rsidRDefault="003F1D9A" w:rsidP="003F1D9A">
            <w:pPr>
              <w:jc w:val="center"/>
              <w:rPr>
                <w:i w:val="0"/>
                <w:iCs/>
                <w:szCs w:val="22"/>
              </w:rPr>
            </w:pPr>
            <w:r>
              <w:rPr>
                <w:rFonts w:asciiTheme="minorHAnsi" w:hAnsiTheme="minorHAnsi" w:cstheme="minorHAnsi"/>
                <w:szCs w:val="22"/>
              </w:rPr>
              <w:t>Należy rozważyć poszerzenie zakresu projektu oraz włączenie pozostałych regionalnych izb lekarskich jako partnerów.</w:t>
            </w:r>
          </w:p>
        </w:tc>
        <w:tc>
          <w:tcPr>
            <w:tcW w:w="5962" w:type="dxa"/>
          </w:tcPr>
          <w:p w14:paraId="4E7C4C41" w14:textId="77777777" w:rsidR="003F1D9A" w:rsidRPr="00A06425" w:rsidRDefault="003F1D9A" w:rsidP="003F1D9A">
            <w:pPr>
              <w:rPr>
                <w:i w:val="0"/>
                <w:iCs/>
                <w:color w:val="000000" w:themeColor="text1"/>
                <w:szCs w:val="22"/>
              </w:rPr>
            </w:pPr>
            <w:r w:rsidRPr="72B6FBF5">
              <w:rPr>
                <w:color w:val="000000" w:themeColor="text1"/>
                <w:szCs w:val="22"/>
              </w:rPr>
              <w:t xml:space="preserve">Informacja o skalowalności projektu na inne Okręgowe Izby Lekarskie została dodana do pkt 1.1. Identyfikacja problemu i potrzeb: Projekt zakłada wdrożenie systemu </w:t>
            </w:r>
            <w:proofErr w:type="spellStart"/>
            <w:r w:rsidRPr="72B6FBF5">
              <w:rPr>
                <w:color w:val="000000" w:themeColor="text1"/>
                <w:szCs w:val="22"/>
              </w:rPr>
              <w:t>mLekarz</w:t>
            </w:r>
            <w:proofErr w:type="spellEnd"/>
            <w:r w:rsidRPr="72B6FBF5">
              <w:rPr>
                <w:color w:val="000000" w:themeColor="text1"/>
                <w:szCs w:val="22"/>
              </w:rPr>
              <w:t xml:space="preserve"> w OIL w Warszawie oraz przygotowanie go jako rozwiązania skalowalnego, gotowego do wdrożenia w innych OIL w Polsce, w celu upowszechnienia jednolitego standardu cyfrowej obsługi.</w:t>
            </w:r>
            <w:r w:rsidRPr="72B6FBF5">
              <w:rPr>
                <w:iCs/>
                <w:color w:val="000000" w:themeColor="text1"/>
                <w:szCs w:val="22"/>
              </w:rPr>
              <w:t xml:space="preserve"> </w:t>
            </w:r>
          </w:p>
          <w:p w14:paraId="11862DD6" w14:textId="77777777" w:rsidR="003F1D9A" w:rsidRPr="00A06425" w:rsidRDefault="003F1D9A" w:rsidP="003F1D9A">
            <w:pPr>
              <w:rPr>
                <w:i w:val="0"/>
                <w:iCs/>
                <w:color w:val="000000" w:themeColor="text1"/>
                <w:szCs w:val="22"/>
              </w:rPr>
            </w:pPr>
          </w:p>
          <w:p w14:paraId="63992483" w14:textId="77777777" w:rsidR="003F1D9A" w:rsidRPr="00A06425" w:rsidRDefault="003F1D9A" w:rsidP="003F1D9A">
            <w:r w:rsidRPr="72B6FBF5">
              <w:rPr>
                <w:color w:val="000000" w:themeColor="text1"/>
                <w:szCs w:val="22"/>
              </w:rPr>
              <w:t xml:space="preserve">W celu zapewnienia uniwersalności użytkowej, organizacyjnej i technicznej systemu </w:t>
            </w:r>
            <w:proofErr w:type="spellStart"/>
            <w:r w:rsidRPr="72B6FBF5">
              <w:rPr>
                <w:color w:val="000000" w:themeColor="text1"/>
                <w:szCs w:val="22"/>
              </w:rPr>
              <w:t>mLekarz</w:t>
            </w:r>
            <w:proofErr w:type="spellEnd"/>
            <w:r w:rsidRPr="72B6FBF5">
              <w:rPr>
                <w:color w:val="000000" w:themeColor="text1"/>
                <w:szCs w:val="22"/>
              </w:rPr>
              <w:t xml:space="preserve">, Wnioskodawca przewiduje utworzenie Rady interesariuszy projektu, z udziałem przedstawicieli wybranych okręgowych izb lekarskich, w tym dużych izb (powyżej 15 tys. członków), średnich izb (od 4 do 15 tys. członków) oraz małych izb (poniżej 4 tys. członków), która będzie pełniła funkcję doradczą w zakresie skalowalności i wdrożenia systemu </w:t>
            </w:r>
            <w:proofErr w:type="spellStart"/>
            <w:r w:rsidRPr="72B6FBF5">
              <w:rPr>
                <w:color w:val="000000" w:themeColor="text1"/>
                <w:szCs w:val="22"/>
              </w:rPr>
              <w:t>mLekarz</w:t>
            </w:r>
            <w:proofErr w:type="spellEnd"/>
            <w:r w:rsidRPr="72B6FBF5">
              <w:rPr>
                <w:color w:val="000000" w:themeColor="text1"/>
                <w:szCs w:val="22"/>
              </w:rPr>
              <w:t xml:space="preserve"> w innych OIL w Polsce.</w:t>
            </w:r>
          </w:p>
          <w:p w14:paraId="051A9128" w14:textId="77777777" w:rsidR="003F1D9A" w:rsidRPr="00A06425" w:rsidRDefault="003F1D9A" w:rsidP="003F1D9A">
            <w:pPr>
              <w:rPr>
                <w:color w:val="000000" w:themeColor="text1"/>
                <w:szCs w:val="22"/>
              </w:rPr>
            </w:pPr>
          </w:p>
          <w:p w14:paraId="3F48025B" w14:textId="673F5DA8" w:rsidR="003F1D9A" w:rsidRPr="21C26366" w:rsidRDefault="003F1D9A" w:rsidP="003F1D9A">
            <w:pPr>
              <w:jc w:val="left"/>
              <w:rPr>
                <w:rFonts w:eastAsia="Aptos"/>
                <w:i w:val="0"/>
                <w:color w:val="000000" w:themeColor="text1"/>
              </w:rPr>
            </w:pPr>
            <w:r w:rsidRPr="72B6FBF5">
              <w:rPr>
                <w:color w:val="000000" w:themeColor="text1"/>
                <w:szCs w:val="22"/>
              </w:rPr>
              <w:lastRenderedPageBreak/>
              <w:t xml:space="preserve">Tytuł zostanie zmieniony w celu podkreślenia ogólnokrajowego charakteru projektu: </w:t>
            </w:r>
            <w:proofErr w:type="spellStart"/>
            <w:r w:rsidRPr="00A41BA2">
              <w:rPr>
                <w:iCs/>
                <w:szCs w:val="22"/>
              </w:rPr>
              <w:t>mLekarz</w:t>
            </w:r>
            <w:proofErr w:type="spellEnd"/>
            <w:r w:rsidRPr="00A41BA2">
              <w:rPr>
                <w:iCs/>
                <w:szCs w:val="22"/>
              </w:rPr>
              <w:t xml:space="preserve"> – kompleksowa cyfryzacja procesów obsługi lekarzy.</w:t>
            </w:r>
          </w:p>
        </w:tc>
      </w:tr>
      <w:tr w:rsidR="003F1D9A" w14:paraId="0590966D" w14:textId="77777777" w:rsidTr="003F1D9A">
        <w:trPr>
          <w:trHeight w:val="840"/>
        </w:trPr>
        <w:tc>
          <w:tcPr>
            <w:tcW w:w="559" w:type="dxa"/>
          </w:tcPr>
          <w:p w14:paraId="3703A0B4" w14:textId="77777777" w:rsidR="003F1D9A" w:rsidRPr="003F7106" w:rsidRDefault="003F1D9A" w:rsidP="003F1D9A">
            <w:pPr>
              <w:pStyle w:val="Akapitzlist"/>
              <w:numPr>
                <w:ilvl w:val="0"/>
                <w:numId w:val="3"/>
              </w:numPr>
              <w:rPr>
                <w:b/>
              </w:rPr>
            </w:pPr>
          </w:p>
        </w:tc>
        <w:tc>
          <w:tcPr>
            <w:tcW w:w="1131" w:type="dxa"/>
          </w:tcPr>
          <w:p w14:paraId="2138F900" w14:textId="04F8E3BB" w:rsidR="003F1D9A" w:rsidRPr="00F25CCA" w:rsidRDefault="003F1D9A" w:rsidP="003F1D9A">
            <w:pPr>
              <w:ind w:right="61"/>
              <w:jc w:val="center"/>
              <w:rPr>
                <w:b/>
                <w:i w:val="0"/>
              </w:rPr>
            </w:pPr>
            <w:proofErr w:type="spellStart"/>
            <w:r>
              <w:rPr>
                <w:rFonts w:asciiTheme="minorHAnsi" w:hAnsiTheme="minorHAnsi" w:cstheme="minorHAnsi"/>
                <w:b/>
                <w:szCs w:val="22"/>
              </w:rPr>
              <w:t>MFiPR</w:t>
            </w:r>
            <w:proofErr w:type="spellEnd"/>
          </w:p>
        </w:tc>
        <w:tc>
          <w:tcPr>
            <w:tcW w:w="1835" w:type="dxa"/>
          </w:tcPr>
          <w:p w14:paraId="21B54626" w14:textId="5B452D69" w:rsidR="003F1D9A" w:rsidRDefault="003F1D9A" w:rsidP="003F1D9A">
            <w:pPr>
              <w:spacing w:line="240" w:lineRule="auto"/>
              <w:jc w:val="center"/>
              <w:rPr>
                <w:i w:val="0"/>
                <w:szCs w:val="22"/>
              </w:rPr>
            </w:pPr>
            <w:r>
              <w:rPr>
                <w:rFonts w:asciiTheme="minorHAnsi" w:hAnsiTheme="minorHAnsi" w:cstheme="minorHAnsi"/>
                <w:szCs w:val="22"/>
              </w:rPr>
              <w:t>2.2 Udostępnione e-usługi</w:t>
            </w:r>
          </w:p>
        </w:tc>
        <w:tc>
          <w:tcPr>
            <w:tcW w:w="3370" w:type="dxa"/>
          </w:tcPr>
          <w:p w14:paraId="07EC02FE" w14:textId="77777777" w:rsidR="003F1D9A" w:rsidRPr="00A83E01" w:rsidRDefault="003F1D9A" w:rsidP="003F1D9A">
            <w:pPr>
              <w:rPr>
                <w:rFonts w:asciiTheme="minorHAnsi" w:hAnsiTheme="minorHAnsi" w:cstheme="minorHAnsi"/>
                <w:szCs w:val="22"/>
              </w:rPr>
            </w:pPr>
            <w:r>
              <w:rPr>
                <w:rFonts w:asciiTheme="minorHAnsi" w:hAnsiTheme="minorHAnsi" w:cstheme="minorHAnsi"/>
                <w:szCs w:val="22"/>
              </w:rPr>
              <w:t>Dwie usługi: 1</w:t>
            </w:r>
            <w:r w:rsidRPr="00A83E01">
              <w:rPr>
                <w:rFonts w:asciiTheme="minorHAnsi" w:hAnsiTheme="minorHAnsi" w:cstheme="minorHAnsi"/>
                <w:szCs w:val="22"/>
              </w:rPr>
              <w:t>0 Obsługa klubu i inicjatyw integracyjnych</w:t>
            </w:r>
            <w:r>
              <w:rPr>
                <w:rFonts w:asciiTheme="minorHAnsi" w:hAnsiTheme="minorHAnsi" w:cstheme="minorHAnsi"/>
                <w:szCs w:val="22"/>
              </w:rPr>
              <w:t xml:space="preserve"> oraz 11. </w:t>
            </w:r>
            <w:r w:rsidRPr="00A83E01">
              <w:rPr>
                <w:rFonts w:asciiTheme="minorHAnsi" w:hAnsiTheme="minorHAnsi" w:cstheme="minorHAnsi"/>
                <w:szCs w:val="22"/>
              </w:rPr>
              <w:t>Umawianie się na wizyty oraz</w:t>
            </w:r>
            <w:r>
              <w:rPr>
                <w:rFonts w:asciiTheme="minorHAnsi" w:hAnsiTheme="minorHAnsi" w:cstheme="minorHAnsi"/>
                <w:szCs w:val="22"/>
              </w:rPr>
              <w:t xml:space="preserve"> </w:t>
            </w:r>
            <w:proofErr w:type="spellStart"/>
            <w:r w:rsidRPr="00A83E01">
              <w:rPr>
                <w:rFonts w:asciiTheme="minorHAnsi" w:hAnsiTheme="minorHAnsi" w:cstheme="minorHAnsi"/>
                <w:szCs w:val="22"/>
              </w:rPr>
              <w:t>multichannel</w:t>
            </w:r>
            <w:proofErr w:type="spellEnd"/>
            <w:r w:rsidRPr="00A83E01">
              <w:rPr>
                <w:rFonts w:asciiTheme="minorHAnsi" w:hAnsiTheme="minorHAnsi" w:cstheme="minorHAnsi"/>
                <w:szCs w:val="22"/>
              </w:rPr>
              <w:t xml:space="preserve"> dla kontaktów w OIL</w:t>
            </w:r>
          </w:p>
          <w:p w14:paraId="043B88B1" w14:textId="77777777" w:rsidR="003F1D9A" w:rsidRDefault="003F1D9A" w:rsidP="003F1D9A">
            <w:pPr>
              <w:rPr>
                <w:rFonts w:asciiTheme="minorHAnsi" w:hAnsiTheme="minorHAnsi" w:cstheme="minorHAnsi"/>
                <w:szCs w:val="22"/>
              </w:rPr>
            </w:pPr>
            <w:r w:rsidRPr="00A83E01">
              <w:rPr>
                <w:rFonts w:asciiTheme="minorHAnsi" w:hAnsiTheme="minorHAnsi" w:cstheme="minorHAnsi"/>
                <w:szCs w:val="22"/>
              </w:rPr>
              <w:t>Warszawa</w:t>
            </w:r>
            <w:r>
              <w:rPr>
                <w:rFonts w:asciiTheme="minorHAnsi" w:hAnsiTheme="minorHAnsi" w:cstheme="minorHAnsi"/>
                <w:szCs w:val="22"/>
              </w:rPr>
              <w:t xml:space="preserve"> mają wpisany poziom dojrzałości dwustronna interakcja. Natomiast w FERC zapisano, że dofinansowane może być wdrożenie usług na 4 poziomie tj. transakcja.</w:t>
            </w:r>
          </w:p>
          <w:p w14:paraId="4250EEC7" w14:textId="7AF7AD89" w:rsidR="003F1D9A" w:rsidRDefault="003F1D9A" w:rsidP="003F1D9A">
            <w:pPr>
              <w:spacing w:after="160"/>
              <w:contextualSpacing/>
              <w:jc w:val="left"/>
              <w:rPr>
                <w:rFonts w:eastAsia="Aptos"/>
                <w:i w:val="0"/>
                <w:color w:val="auto"/>
                <w:szCs w:val="22"/>
                <w:lang w:eastAsia="en-US"/>
              </w:rPr>
            </w:pPr>
            <w:r>
              <w:rPr>
                <w:rFonts w:asciiTheme="minorHAnsi" w:hAnsiTheme="minorHAnsi" w:cstheme="minorHAnsi"/>
                <w:szCs w:val="22"/>
              </w:rPr>
              <w:t>Koszty planowane na wdrożenie tych usług nie mogą być zatem kwalifikowalne w projekcie planowanym do zgłoszenia w działaniu 2.1 FERC.</w:t>
            </w:r>
          </w:p>
        </w:tc>
        <w:tc>
          <w:tcPr>
            <w:tcW w:w="2700" w:type="dxa"/>
          </w:tcPr>
          <w:p w14:paraId="35E5335E" w14:textId="0AC96CAA" w:rsidR="003F1D9A" w:rsidRPr="00F25CCA" w:rsidRDefault="003F1D9A" w:rsidP="003F1D9A">
            <w:pPr>
              <w:jc w:val="center"/>
              <w:rPr>
                <w:i w:val="0"/>
                <w:iCs/>
                <w:szCs w:val="22"/>
              </w:rPr>
            </w:pPr>
            <w:r>
              <w:rPr>
                <w:rFonts w:asciiTheme="minorHAnsi" w:hAnsiTheme="minorHAnsi" w:cstheme="minorHAnsi"/>
                <w:szCs w:val="22"/>
              </w:rPr>
              <w:t>Proszę o przeanalizowanie poziomu obydwu planowanych usług. Jeżeli we wniosku pozostanie wpisany aktualnie poziom usług, należy wtedy wyliczyć koszty z nimi związane i wpisać je jako niekwalifikowalne, czyli takie, które beneficjent będzie musiał ponieść we własnym zakresie.</w:t>
            </w:r>
          </w:p>
        </w:tc>
        <w:tc>
          <w:tcPr>
            <w:tcW w:w="5962" w:type="dxa"/>
          </w:tcPr>
          <w:p w14:paraId="6C5A6E07" w14:textId="77777777" w:rsidR="003F1D9A" w:rsidRPr="00A06425" w:rsidRDefault="003F1D9A" w:rsidP="003F1D9A">
            <w:pPr>
              <w:rPr>
                <w:rFonts w:asciiTheme="minorHAnsi" w:hAnsiTheme="minorHAnsi" w:cstheme="minorBidi"/>
                <w:szCs w:val="22"/>
              </w:rPr>
            </w:pPr>
            <w:r w:rsidRPr="72B6FBF5">
              <w:rPr>
                <w:rFonts w:asciiTheme="minorHAnsi" w:hAnsiTheme="minorHAnsi" w:cstheme="minorBidi"/>
                <w:szCs w:val="22"/>
              </w:rPr>
              <w:t xml:space="preserve">Zmieniono opis usług w celu spełniania wymogu transakcji: </w:t>
            </w:r>
          </w:p>
          <w:p w14:paraId="643BEC31" w14:textId="77777777" w:rsidR="003F1D9A" w:rsidRPr="00A06425" w:rsidRDefault="003F1D9A" w:rsidP="003F1D9A">
            <w:pPr>
              <w:pStyle w:val="Akapitzlist"/>
              <w:numPr>
                <w:ilvl w:val="0"/>
                <w:numId w:val="5"/>
              </w:numPr>
              <w:spacing w:after="0" w:line="240" w:lineRule="auto"/>
              <w:rPr>
                <w:rFonts w:ascii="Calibri" w:eastAsia="Calibri" w:hAnsi="Calibri" w:cs="Calibri"/>
              </w:rPr>
            </w:pPr>
            <w:r w:rsidRPr="72B6FBF5">
              <w:rPr>
                <w:rFonts w:ascii="Calibri" w:eastAsia="Calibri" w:hAnsi="Calibri" w:cs="Calibri"/>
              </w:rPr>
              <w:t>Elektroniczna rejestracja i obsługa uczestnictwa w klubie i inicjatywach integracyjnych (np. Klub Lekarza Przedsiębiorcy, wydarzenia sportowe, spotkania środowiskowe)</w:t>
            </w:r>
          </w:p>
          <w:p w14:paraId="69E0F222" w14:textId="77777777" w:rsidR="003F1D9A" w:rsidRPr="00A06425" w:rsidRDefault="003F1D9A" w:rsidP="003F1D9A">
            <w:pPr>
              <w:rPr>
                <w:szCs w:val="22"/>
              </w:rPr>
            </w:pPr>
          </w:p>
          <w:p w14:paraId="34F06648" w14:textId="75B5F67D" w:rsidR="003F1D9A" w:rsidRPr="21C26366" w:rsidRDefault="003F1D9A" w:rsidP="003F1D9A">
            <w:pPr>
              <w:jc w:val="left"/>
              <w:rPr>
                <w:rFonts w:eastAsia="Aptos"/>
                <w:i w:val="0"/>
                <w:color w:val="000000" w:themeColor="text1"/>
              </w:rPr>
            </w:pPr>
            <w:r w:rsidRPr="72B6FBF5">
              <w:rPr>
                <w:szCs w:val="22"/>
              </w:rPr>
              <w:t xml:space="preserve">Elektroniczne umawianie wizyt stacjonarnych, wideo i </w:t>
            </w:r>
            <w:proofErr w:type="spellStart"/>
            <w:r w:rsidRPr="72B6FBF5">
              <w:rPr>
                <w:szCs w:val="22"/>
              </w:rPr>
              <w:t>tele</w:t>
            </w:r>
            <w:proofErr w:type="spellEnd"/>
            <w:r w:rsidRPr="72B6FBF5">
              <w:rPr>
                <w:szCs w:val="22"/>
              </w:rPr>
              <w:t xml:space="preserve"> w OIL Warszawa</w:t>
            </w:r>
          </w:p>
        </w:tc>
      </w:tr>
      <w:tr w:rsidR="003F1D9A" w14:paraId="65B3FB9F" w14:textId="77777777" w:rsidTr="003F1D9A">
        <w:trPr>
          <w:trHeight w:val="840"/>
        </w:trPr>
        <w:tc>
          <w:tcPr>
            <w:tcW w:w="559" w:type="dxa"/>
          </w:tcPr>
          <w:p w14:paraId="16E784E7" w14:textId="77777777" w:rsidR="003F1D9A" w:rsidRPr="003F7106" w:rsidRDefault="003F1D9A" w:rsidP="003F1D9A">
            <w:pPr>
              <w:pStyle w:val="Akapitzlist"/>
              <w:numPr>
                <w:ilvl w:val="0"/>
                <w:numId w:val="3"/>
              </w:numPr>
              <w:rPr>
                <w:b/>
              </w:rPr>
            </w:pPr>
          </w:p>
        </w:tc>
        <w:tc>
          <w:tcPr>
            <w:tcW w:w="1131" w:type="dxa"/>
          </w:tcPr>
          <w:p w14:paraId="4AE25953" w14:textId="60BE0814" w:rsidR="003F1D9A" w:rsidRPr="00F25CCA" w:rsidRDefault="003F1D9A" w:rsidP="003F1D9A">
            <w:pPr>
              <w:ind w:right="61"/>
              <w:jc w:val="center"/>
              <w:rPr>
                <w:b/>
                <w:i w:val="0"/>
              </w:rPr>
            </w:pPr>
            <w:proofErr w:type="spellStart"/>
            <w:r>
              <w:rPr>
                <w:rFonts w:asciiTheme="minorHAnsi" w:hAnsiTheme="minorHAnsi" w:cstheme="minorHAnsi"/>
                <w:b/>
                <w:szCs w:val="22"/>
              </w:rPr>
              <w:t>MFiPR</w:t>
            </w:r>
            <w:proofErr w:type="spellEnd"/>
          </w:p>
        </w:tc>
        <w:tc>
          <w:tcPr>
            <w:tcW w:w="1835" w:type="dxa"/>
          </w:tcPr>
          <w:p w14:paraId="6889A2F6" w14:textId="7548CC0B" w:rsidR="003F1D9A" w:rsidRDefault="003F1D9A" w:rsidP="003F1D9A">
            <w:pPr>
              <w:spacing w:line="240" w:lineRule="auto"/>
              <w:jc w:val="center"/>
              <w:rPr>
                <w:i w:val="0"/>
                <w:szCs w:val="22"/>
              </w:rPr>
            </w:pPr>
            <w:r>
              <w:rPr>
                <w:rFonts w:asciiTheme="minorHAnsi" w:hAnsiTheme="minorHAnsi" w:cstheme="minorHAnsi"/>
                <w:szCs w:val="22"/>
              </w:rPr>
              <w:t>2.1 Cele i korzyści wynikające z projektu</w:t>
            </w:r>
          </w:p>
        </w:tc>
        <w:tc>
          <w:tcPr>
            <w:tcW w:w="3370" w:type="dxa"/>
          </w:tcPr>
          <w:p w14:paraId="04C8A79A" w14:textId="77777777" w:rsidR="003F1D9A" w:rsidRDefault="003F1D9A" w:rsidP="003F1D9A">
            <w:pPr>
              <w:spacing w:after="120"/>
              <w:rPr>
                <w:rFonts w:asciiTheme="minorHAnsi" w:hAnsiTheme="minorHAnsi" w:cstheme="minorHAnsi"/>
                <w:szCs w:val="22"/>
              </w:rPr>
            </w:pPr>
            <w:r>
              <w:rPr>
                <w:rFonts w:asciiTheme="minorHAnsi" w:hAnsiTheme="minorHAnsi" w:cstheme="minorHAnsi"/>
                <w:szCs w:val="22"/>
              </w:rPr>
              <w:t>1) Podano, iż wartość docelowa wskaźnika „</w:t>
            </w:r>
            <w:r w:rsidRPr="006E26E3">
              <w:rPr>
                <w:rFonts w:asciiTheme="minorHAnsi" w:hAnsiTheme="minorHAnsi" w:cstheme="minorHAnsi"/>
                <w:szCs w:val="22"/>
              </w:rPr>
              <w:t>Liczba usług publicznych udostępnionych on-line o stopniu dojrzałości</w:t>
            </w:r>
            <w:r>
              <w:rPr>
                <w:rFonts w:asciiTheme="minorHAnsi" w:hAnsiTheme="minorHAnsi" w:cstheme="minorHAnsi"/>
                <w:szCs w:val="22"/>
              </w:rPr>
              <w:t xml:space="preserve"> </w:t>
            </w:r>
            <w:r w:rsidRPr="006E26E3">
              <w:rPr>
                <w:rFonts w:asciiTheme="minorHAnsi" w:hAnsiTheme="minorHAnsi" w:cstheme="minorHAnsi"/>
                <w:szCs w:val="22"/>
              </w:rPr>
              <w:t xml:space="preserve">co najmniej 4 – </w:t>
            </w:r>
            <w:proofErr w:type="gramStart"/>
            <w:r w:rsidRPr="006E26E3">
              <w:rPr>
                <w:rFonts w:asciiTheme="minorHAnsi" w:hAnsiTheme="minorHAnsi" w:cstheme="minorHAnsi"/>
                <w:szCs w:val="22"/>
              </w:rPr>
              <w:t>transakcja</w:t>
            </w:r>
            <w:r>
              <w:rPr>
                <w:rFonts w:asciiTheme="minorHAnsi" w:hAnsiTheme="minorHAnsi" w:cstheme="minorHAnsi"/>
                <w:szCs w:val="22"/>
              </w:rPr>
              <w:t>”  wynosi</w:t>
            </w:r>
            <w:proofErr w:type="gramEnd"/>
            <w:r>
              <w:rPr>
                <w:rFonts w:asciiTheme="minorHAnsi" w:hAnsiTheme="minorHAnsi" w:cstheme="minorHAnsi"/>
                <w:szCs w:val="22"/>
              </w:rPr>
              <w:t xml:space="preserve"> 9 szt., podczas gdy w tabeli nr 2.2 wykazano 11 usług A2B, A2C.</w:t>
            </w:r>
          </w:p>
          <w:p w14:paraId="20D27E1D" w14:textId="77777777" w:rsidR="003F1D9A" w:rsidRDefault="003F1D9A" w:rsidP="003F1D9A">
            <w:pPr>
              <w:spacing w:after="120"/>
              <w:rPr>
                <w:rFonts w:asciiTheme="minorHAnsi" w:hAnsiTheme="minorHAnsi" w:cstheme="minorHAnsi"/>
                <w:szCs w:val="22"/>
              </w:rPr>
            </w:pPr>
            <w:r>
              <w:rPr>
                <w:rFonts w:asciiTheme="minorHAnsi" w:hAnsiTheme="minorHAnsi" w:cstheme="minorHAnsi"/>
                <w:szCs w:val="22"/>
              </w:rPr>
              <w:t>2) Nazwa wskaźnika „</w:t>
            </w:r>
            <w:r w:rsidRPr="006E26E3">
              <w:rPr>
                <w:rFonts w:asciiTheme="minorHAnsi" w:hAnsiTheme="minorHAnsi" w:cstheme="minorHAnsi"/>
                <w:szCs w:val="22"/>
              </w:rPr>
              <w:t>Liczba użytkowników nowych publicznych usług cyfrowych</w:t>
            </w:r>
            <w:r>
              <w:rPr>
                <w:rFonts w:asciiTheme="minorHAnsi" w:hAnsiTheme="minorHAnsi" w:cstheme="minorHAnsi"/>
                <w:szCs w:val="22"/>
              </w:rPr>
              <w:t xml:space="preserve">” powinna zostać skorygowana zgodnie z nazwą wskaźnika </w:t>
            </w:r>
            <w:r>
              <w:rPr>
                <w:rFonts w:asciiTheme="minorHAnsi" w:hAnsiTheme="minorHAnsi" w:cstheme="minorHAnsi"/>
                <w:szCs w:val="22"/>
              </w:rPr>
              <w:lastRenderedPageBreak/>
              <w:t>określoną w dz. 2.1 FERC, tj. „</w:t>
            </w:r>
            <w:r w:rsidRPr="006E26E3">
              <w:rPr>
                <w:rFonts w:asciiTheme="minorHAnsi" w:hAnsiTheme="minorHAnsi" w:cstheme="minorHAnsi"/>
                <w:szCs w:val="22"/>
              </w:rPr>
              <w:t>Użytkownicy nowych i zmodernizowanych publicznych usług, produktów i procesów cyfrowych</w:t>
            </w:r>
            <w:r>
              <w:rPr>
                <w:rFonts w:asciiTheme="minorHAnsi" w:hAnsiTheme="minorHAnsi" w:cstheme="minorHAnsi"/>
                <w:szCs w:val="22"/>
              </w:rPr>
              <w:t>”</w:t>
            </w:r>
            <w:r w:rsidRPr="006E26E3">
              <w:rPr>
                <w:rFonts w:asciiTheme="minorHAnsi" w:hAnsiTheme="minorHAnsi" w:cstheme="minorHAnsi"/>
                <w:szCs w:val="22"/>
              </w:rPr>
              <w:t>.</w:t>
            </w:r>
          </w:p>
          <w:p w14:paraId="463CD6BB" w14:textId="77777777" w:rsidR="003F1D9A" w:rsidRDefault="003F1D9A" w:rsidP="003F1D9A">
            <w:pPr>
              <w:spacing w:after="120"/>
              <w:rPr>
                <w:rFonts w:asciiTheme="minorHAnsi" w:hAnsiTheme="minorHAnsi" w:cstheme="minorHAnsi"/>
                <w:szCs w:val="22"/>
              </w:rPr>
            </w:pPr>
            <w:r>
              <w:rPr>
                <w:rFonts w:asciiTheme="minorHAnsi" w:hAnsiTheme="minorHAnsi" w:cstheme="minorHAnsi"/>
                <w:szCs w:val="22"/>
              </w:rPr>
              <w:t>3) Należy wyjaśnić różnice między KPI 4 i 5, tj.:</w:t>
            </w:r>
          </w:p>
          <w:p w14:paraId="2706A69E" w14:textId="77777777" w:rsidR="003F1D9A" w:rsidRPr="006E26E3" w:rsidRDefault="003F1D9A" w:rsidP="003F1D9A">
            <w:pPr>
              <w:spacing w:after="120"/>
              <w:rPr>
                <w:rFonts w:asciiTheme="minorHAnsi" w:hAnsiTheme="minorHAnsi" w:cstheme="minorHAnsi"/>
                <w:szCs w:val="22"/>
              </w:rPr>
            </w:pPr>
            <w:r w:rsidRPr="006E26E3">
              <w:rPr>
                <w:rFonts w:asciiTheme="minorHAnsi" w:hAnsiTheme="minorHAnsi" w:cstheme="minorHAnsi"/>
                <w:szCs w:val="22"/>
              </w:rPr>
              <w:t>KPI 4: Liczba użytkowników nowych publicznych usług cyfrowych.</w:t>
            </w:r>
          </w:p>
          <w:p w14:paraId="4532B757" w14:textId="77777777" w:rsidR="003F1D9A" w:rsidRDefault="003F1D9A" w:rsidP="003F1D9A">
            <w:pPr>
              <w:spacing w:after="120"/>
              <w:rPr>
                <w:rFonts w:asciiTheme="minorHAnsi" w:hAnsiTheme="minorHAnsi" w:cstheme="minorHAnsi"/>
                <w:szCs w:val="22"/>
              </w:rPr>
            </w:pPr>
            <w:r w:rsidRPr="006E26E3">
              <w:rPr>
                <w:rFonts w:asciiTheme="minorHAnsi" w:hAnsiTheme="minorHAnsi" w:cstheme="minorHAnsi"/>
                <w:szCs w:val="22"/>
              </w:rPr>
              <w:t>KPI 5: Liczba spraw załatwionych całkowicie online w ciągu 12 miesięcy</w:t>
            </w:r>
          </w:p>
          <w:p w14:paraId="45B06A6F" w14:textId="77777777" w:rsidR="003F1D9A" w:rsidRPr="006E26E3" w:rsidRDefault="003F1D9A" w:rsidP="003F1D9A">
            <w:pPr>
              <w:spacing w:after="120"/>
              <w:rPr>
                <w:rFonts w:asciiTheme="minorHAnsi" w:hAnsiTheme="minorHAnsi" w:cstheme="minorHAnsi"/>
                <w:szCs w:val="22"/>
              </w:rPr>
            </w:pPr>
            <w:r>
              <w:rPr>
                <w:rFonts w:asciiTheme="minorHAnsi" w:hAnsiTheme="minorHAnsi" w:cstheme="minorHAnsi"/>
                <w:szCs w:val="22"/>
              </w:rPr>
              <w:t>Z opisu KPI wynika, że KPI 4 dotyczy: m</w:t>
            </w:r>
            <w:r w:rsidRPr="006E26E3">
              <w:rPr>
                <w:rFonts w:asciiTheme="minorHAnsi" w:hAnsiTheme="minorHAnsi" w:cstheme="minorHAnsi"/>
                <w:szCs w:val="22"/>
              </w:rPr>
              <w:t>onitoring</w:t>
            </w:r>
            <w:r>
              <w:rPr>
                <w:rFonts w:asciiTheme="minorHAnsi" w:hAnsiTheme="minorHAnsi" w:cstheme="minorHAnsi"/>
                <w:szCs w:val="22"/>
              </w:rPr>
              <w:t>u</w:t>
            </w:r>
            <w:r w:rsidRPr="006E26E3">
              <w:rPr>
                <w:rFonts w:asciiTheme="minorHAnsi" w:hAnsiTheme="minorHAnsi" w:cstheme="minorHAnsi"/>
                <w:szCs w:val="22"/>
              </w:rPr>
              <w:t xml:space="preserve"> rejestru użytkowników w systemie </w:t>
            </w:r>
            <w:proofErr w:type="spellStart"/>
            <w:r w:rsidRPr="006E26E3">
              <w:rPr>
                <w:rFonts w:asciiTheme="minorHAnsi" w:hAnsiTheme="minorHAnsi" w:cstheme="minorHAnsi"/>
                <w:szCs w:val="22"/>
              </w:rPr>
              <w:t>mLekarz</w:t>
            </w:r>
            <w:proofErr w:type="spellEnd"/>
            <w:r w:rsidRPr="006E26E3">
              <w:rPr>
                <w:rFonts w:asciiTheme="minorHAnsi" w:hAnsiTheme="minorHAnsi" w:cstheme="minorHAnsi"/>
                <w:szCs w:val="22"/>
              </w:rPr>
              <w:t>, statystyk</w:t>
            </w:r>
            <w:r>
              <w:rPr>
                <w:rFonts w:asciiTheme="minorHAnsi" w:hAnsiTheme="minorHAnsi" w:cstheme="minorHAnsi"/>
                <w:szCs w:val="22"/>
              </w:rPr>
              <w:t xml:space="preserve"> </w:t>
            </w:r>
            <w:r w:rsidRPr="006E26E3">
              <w:rPr>
                <w:rFonts w:asciiTheme="minorHAnsi" w:hAnsiTheme="minorHAnsi" w:cstheme="minorHAnsi"/>
                <w:szCs w:val="22"/>
              </w:rPr>
              <w:t xml:space="preserve">rejestracji i aktywności kont, analiz logowań. </w:t>
            </w:r>
          </w:p>
          <w:p w14:paraId="1BEFF865" w14:textId="77777777" w:rsidR="003F1D9A" w:rsidRPr="006E26E3" w:rsidRDefault="003F1D9A" w:rsidP="003F1D9A">
            <w:pPr>
              <w:spacing w:after="120"/>
              <w:rPr>
                <w:rFonts w:asciiTheme="minorHAnsi" w:hAnsiTheme="minorHAnsi" w:cstheme="minorHAnsi"/>
                <w:szCs w:val="22"/>
              </w:rPr>
            </w:pPr>
            <w:r>
              <w:rPr>
                <w:rFonts w:asciiTheme="minorHAnsi" w:hAnsiTheme="minorHAnsi" w:cstheme="minorHAnsi"/>
                <w:szCs w:val="22"/>
              </w:rPr>
              <w:t xml:space="preserve">Natomiast </w:t>
            </w:r>
            <w:r w:rsidRPr="006E26E3">
              <w:rPr>
                <w:rFonts w:asciiTheme="minorHAnsi" w:hAnsiTheme="minorHAnsi" w:cstheme="minorHAnsi"/>
                <w:szCs w:val="22"/>
              </w:rPr>
              <w:t>KPI 5</w:t>
            </w:r>
            <w:r>
              <w:rPr>
                <w:rFonts w:asciiTheme="minorHAnsi" w:hAnsiTheme="minorHAnsi" w:cstheme="minorHAnsi"/>
                <w:szCs w:val="22"/>
              </w:rPr>
              <w:t xml:space="preserve"> dotyczy</w:t>
            </w:r>
            <w:r w:rsidRPr="006E26E3">
              <w:rPr>
                <w:rFonts w:asciiTheme="minorHAnsi" w:hAnsiTheme="minorHAnsi" w:cstheme="minorHAnsi"/>
                <w:szCs w:val="22"/>
              </w:rPr>
              <w:t xml:space="preserve">: </w:t>
            </w:r>
            <w:r>
              <w:rPr>
                <w:rFonts w:asciiTheme="minorHAnsi" w:hAnsiTheme="minorHAnsi" w:cstheme="minorHAnsi"/>
                <w:szCs w:val="22"/>
              </w:rPr>
              <w:t>s</w:t>
            </w:r>
            <w:r w:rsidRPr="006E26E3">
              <w:rPr>
                <w:rFonts w:asciiTheme="minorHAnsi" w:hAnsiTheme="minorHAnsi" w:cstheme="minorHAnsi"/>
                <w:szCs w:val="22"/>
              </w:rPr>
              <w:t xml:space="preserve">tatystyk zamkniętych spraw w systemie </w:t>
            </w:r>
            <w:proofErr w:type="spellStart"/>
            <w:r w:rsidRPr="006E26E3">
              <w:rPr>
                <w:rFonts w:asciiTheme="minorHAnsi" w:hAnsiTheme="minorHAnsi" w:cstheme="minorHAnsi"/>
                <w:szCs w:val="22"/>
              </w:rPr>
              <w:t>mLekarz</w:t>
            </w:r>
            <w:proofErr w:type="spellEnd"/>
            <w:r w:rsidRPr="006E26E3">
              <w:rPr>
                <w:rFonts w:asciiTheme="minorHAnsi" w:hAnsiTheme="minorHAnsi" w:cstheme="minorHAnsi"/>
                <w:szCs w:val="22"/>
              </w:rPr>
              <w:t>/CMS, analiz</w:t>
            </w:r>
            <w:r>
              <w:rPr>
                <w:rFonts w:asciiTheme="minorHAnsi" w:hAnsiTheme="minorHAnsi" w:cstheme="minorHAnsi"/>
                <w:szCs w:val="22"/>
              </w:rPr>
              <w:t>y</w:t>
            </w:r>
          </w:p>
          <w:p w14:paraId="60190CE3" w14:textId="77777777" w:rsidR="003F1D9A" w:rsidRDefault="003F1D9A" w:rsidP="003F1D9A">
            <w:pPr>
              <w:spacing w:after="120"/>
              <w:rPr>
                <w:rFonts w:asciiTheme="minorHAnsi" w:hAnsiTheme="minorHAnsi" w:cstheme="minorHAnsi"/>
                <w:szCs w:val="22"/>
              </w:rPr>
            </w:pPr>
            <w:proofErr w:type="spellStart"/>
            <w:r w:rsidRPr="006E26E3">
              <w:rPr>
                <w:rFonts w:asciiTheme="minorHAnsi" w:hAnsiTheme="minorHAnsi" w:cstheme="minorHAnsi"/>
                <w:szCs w:val="22"/>
              </w:rPr>
              <w:t>workflow</w:t>
            </w:r>
            <w:proofErr w:type="spellEnd"/>
            <w:r w:rsidRPr="006E26E3">
              <w:rPr>
                <w:rFonts w:asciiTheme="minorHAnsi" w:hAnsiTheme="minorHAnsi" w:cstheme="minorHAnsi"/>
                <w:szCs w:val="22"/>
              </w:rPr>
              <w:t xml:space="preserve"> z oznaczeniem „100% zakończona elektronicznie”. </w:t>
            </w:r>
          </w:p>
          <w:p w14:paraId="3C104445" w14:textId="77777777" w:rsidR="003F1D9A" w:rsidRDefault="003F1D9A" w:rsidP="003F1D9A">
            <w:pPr>
              <w:spacing w:after="120"/>
              <w:rPr>
                <w:rFonts w:asciiTheme="minorHAnsi" w:hAnsiTheme="minorHAnsi" w:cstheme="minorHAnsi"/>
                <w:szCs w:val="22"/>
              </w:rPr>
            </w:pPr>
            <w:r>
              <w:rPr>
                <w:rFonts w:asciiTheme="minorHAnsi" w:hAnsiTheme="minorHAnsi" w:cstheme="minorHAnsi"/>
                <w:szCs w:val="22"/>
              </w:rPr>
              <w:t>Jednocześnie, wartości docelowe obu wskaźników są takie same, tj. wynoszą 10 000.</w:t>
            </w:r>
          </w:p>
          <w:p w14:paraId="033DA118" w14:textId="5717E2CE" w:rsidR="003F1D9A" w:rsidRDefault="003F1D9A" w:rsidP="003F1D9A">
            <w:pPr>
              <w:spacing w:after="160"/>
              <w:contextualSpacing/>
              <w:jc w:val="left"/>
              <w:rPr>
                <w:rFonts w:eastAsia="Aptos"/>
                <w:i w:val="0"/>
                <w:color w:val="auto"/>
                <w:szCs w:val="22"/>
                <w:lang w:eastAsia="en-US"/>
              </w:rPr>
            </w:pPr>
            <w:r>
              <w:rPr>
                <w:rFonts w:asciiTheme="minorHAnsi" w:hAnsiTheme="minorHAnsi" w:cstheme="minorHAnsi"/>
                <w:szCs w:val="22"/>
              </w:rPr>
              <w:lastRenderedPageBreak/>
              <w:t>Na podstawie ww. opisu trudno stwierdzić, jaka jest różnica między wskaźnikami.</w:t>
            </w:r>
          </w:p>
        </w:tc>
        <w:tc>
          <w:tcPr>
            <w:tcW w:w="2700" w:type="dxa"/>
          </w:tcPr>
          <w:p w14:paraId="4A64ED93" w14:textId="77777777" w:rsidR="003F1D9A" w:rsidRPr="000C33DE" w:rsidRDefault="003F1D9A" w:rsidP="003F1D9A">
            <w:pPr>
              <w:spacing w:after="120"/>
              <w:rPr>
                <w:rFonts w:asciiTheme="minorHAnsi" w:hAnsiTheme="minorHAnsi" w:cstheme="minorHAnsi"/>
                <w:szCs w:val="22"/>
              </w:rPr>
            </w:pPr>
            <w:r>
              <w:rPr>
                <w:rFonts w:asciiTheme="minorHAnsi" w:hAnsiTheme="minorHAnsi" w:cstheme="minorHAnsi"/>
                <w:szCs w:val="22"/>
              </w:rPr>
              <w:lastRenderedPageBreak/>
              <w:t xml:space="preserve">1) </w:t>
            </w:r>
            <w:r w:rsidRPr="000C33DE">
              <w:rPr>
                <w:rFonts w:asciiTheme="minorHAnsi" w:hAnsiTheme="minorHAnsi" w:cstheme="minorHAnsi"/>
                <w:szCs w:val="22"/>
              </w:rPr>
              <w:t>Proszę o weryfikację liczby e-usług podanych w tabel</w:t>
            </w:r>
            <w:r>
              <w:rPr>
                <w:rFonts w:asciiTheme="minorHAnsi" w:hAnsiTheme="minorHAnsi" w:cstheme="minorHAnsi"/>
                <w:szCs w:val="22"/>
              </w:rPr>
              <w:t xml:space="preserve">ach </w:t>
            </w:r>
            <w:r w:rsidRPr="000C33DE">
              <w:rPr>
                <w:rFonts w:asciiTheme="minorHAnsi" w:hAnsiTheme="minorHAnsi" w:cstheme="minorHAnsi"/>
                <w:szCs w:val="22"/>
              </w:rPr>
              <w:t>2.1 i 2.2. Wartości powinny być spójne</w:t>
            </w:r>
            <w:r>
              <w:rPr>
                <w:rFonts w:asciiTheme="minorHAnsi" w:hAnsiTheme="minorHAnsi" w:cstheme="minorHAnsi"/>
                <w:szCs w:val="22"/>
              </w:rPr>
              <w:t xml:space="preserve"> w obu miejscach</w:t>
            </w:r>
            <w:r w:rsidRPr="000C33DE">
              <w:rPr>
                <w:rFonts w:asciiTheme="minorHAnsi" w:hAnsiTheme="minorHAnsi" w:cstheme="minorHAnsi"/>
                <w:szCs w:val="22"/>
              </w:rPr>
              <w:t>.</w:t>
            </w:r>
          </w:p>
          <w:p w14:paraId="1CFAFA18" w14:textId="77777777" w:rsidR="003F1D9A" w:rsidRDefault="003F1D9A" w:rsidP="003F1D9A">
            <w:pPr>
              <w:spacing w:after="120"/>
              <w:rPr>
                <w:rFonts w:asciiTheme="minorHAnsi" w:hAnsiTheme="minorHAnsi" w:cstheme="minorHAnsi"/>
                <w:szCs w:val="22"/>
              </w:rPr>
            </w:pPr>
            <w:r>
              <w:rPr>
                <w:rFonts w:asciiTheme="minorHAnsi" w:hAnsiTheme="minorHAnsi" w:cstheme="minorHAnsi"/>
                <w:szCs w:val="22"/>
              </w:rPr>
              <w:t xml:space="preserve">2) </w:t>
            </w:r>
            <w:r w:rsidRPr="000C33DE">
              <w:rPr>
                <w:rFonts w:asciiTheme="minorHAnsi" w:hAnsiTheme="minorHAnsi" w:cstheme="minorHAnsi"/>
                <w:szCs w:val="22"/>
              </w:rPr>
              <w:t xml:space="preserve">Proszę o korektę nazwy wskaźnika zgodnie z nazwą określoną w dz. 2.1 FERC. Jednocześnie wskaźnik powinien spełniać warunki jego </w:t>
            </w:r>
            <w:r w:rsidRPr="000C33DE">
              <w:rPr>
                <w:rFonts w:asciiTheme="minorHAnsi" w:hAnsiTheme="minorHAnsi" w:cstheme="minorHAnsi"/>
                <w:szCs w:val="22"/>
              </w:rPr>
              <w:lastRenderedPageBreak/>
              <w:t>definicji opracowanej przez IZ FERC.</w:t>
            </w:r>
          </w:p>
          <w:p w14:paraId="63592E74" w14:textId="77777777" w:rsidR="003F1D9A" w:rsidRDefault="003F1D9A" w:rsidP="003F1D9A">
            <w:pPr>
              <w:spacing w:after="120"/>
              <w:rPr>
                <w:rFonts w:asciiTheme="minorHAnsi" w:hAnsiTheme="minorHAnsi" w:cstheme="minorHAnsi"/>
                <w:szCs w:val="22"/>
              </w:rPr>
            </w:pPr>
            <w:r>
              <w:rPr>
                <w:rFonts w:asciiTheme="minorHAnsi" w:hAnsiTheme="minorHAnsi" w:cstheme="minorHAnsi"/>
                <w:szCs w:val="22"/>
              </w:rPr>
              <w:t>3) Wnioskodawca powinien w pierwszej kolejności wybrać wskaźnik „</w:t>
            </w:r>
            <w:r w:rsidRPr="006E26E3">
              <w:rPr>
                <w:rFonts w:asciiTheme="minorHAnsi" w:hAnsiTheme="minorHAnsi" w:cstheme="minorHAnsi"/>
                <w:szCs w:val="22"/>
              </w:rPr>
              <w:t>Użytkownicy nowych i zmodernizowanych publicznych usług, produktów i procesów cyfrowych</w:t>
            </w:r>
            <w:r>
              <w:rPr>
                <w:rFonts w:asciiTheme="minorHAnsi" w:hAnsiTheme="minorHAnsi" w:cstheme="minorHAnsi"/>
                <w:szCs w:val="22"/>
              </w:rPr>
              <w:t xml:space="preserve">”, który powinien spełniać warunki definicji, tj. dotyczyć użytkowników uruchomionych e-usług, tj. obywateli lub przedsiębiorców. </w:t>
            </w:r>
          </w:p>
          <w:p w14:paraId="6F57F9C5" w14:textId="77777777" w:rsidR="003F1D9A" w:rsidRDefault="003F1D9A" w:rsidP="003F1D9A">
            <w:pPr>
              <w:spacing w:after="120"/>
              <w:rPr>
                <w:rFonts w:asciiTheme="minorHAnsi" w:hAnsiTheme="minorHAnsi" w:cstheme="minorHAnsi"/>
                <w:szCs w:val="22"/>
              </w:rPr>
            </w:pPr>
            <w:r>
              <w:rPr>
                <w:rFonts w:asciiTheme="minorHAnsi" w:hAnsiTheme="minorHAnsi" w:cstheme="minorHAnsi"/>
                <w:szCs w:val="22"/>
              </w:rPr>
              <w:t>Wnioskodawca może określić dodatkowo wskaźnik własny, jednak różnica pomiędzy ww. wskaźnikiem a wskaźnikiem własnym powinna być jasna. Obecnie tak nie jest, także dlatego, że wartości docelowe obu zaproponowanych wskaźników są takie same.</w:t>
            </w:r>
          </w:p>
          <w:p w14:paraId="6E59D482" w14:textId="1D15EE68" w:rsidR="003F1D9A" w:rsidRPr="00F25CCA" w:rsidRDefault="003F1D9A" w:rsidP="003F1D9A">
            <w:pPr>
              <w:jc w:val="center"/>
              <w:rPr>
                <w:i w:val="0"/>
                <w:iCs/>
                <w:szCs w:val="22"/>
              </w:rPr>
            </w:pPr>
            <w:r>
              <w:rPr>
                <w:rFonts w:asciiTheme="minorHAnsi" w:hAnsiTheme="minorHAnsi" w:cstheme="minorHAnsi"/>
                <w:szCs w:val="22"/>
              </w:rPr>
              <w:lastRenderedPageBreak/>
              <w:t>Proszę o weryfikację obu wskaźników i odpowiednią korektę zgodnie z powyższymi zaleceniami.</w:t>
            </w:r>
          </w:p>
        </w:tc>
        <w:tc>
          <w:tcPr>
            <w:tcW w:w="5962" w:type="dxa"/>
          </w:tcPr>
          <w:p w14:paraId="6D67DEB9" w14:textId="77777777" w:rsidR="003F1D9A" w:rsidRPr="00A06425" w:rsidRDefault="003F1D9A" w:rsidP="003F1D9A">
            <w:pPr>
              <w:rPr>
                <w:rFonts w:asciiTheme="minorHAnsi" w:hAnsiTheme="minorHAnsi" w:cstheme="minorBidi"/>
                <w:szCs w:val="22"/>
              </w:rPr>
            </w:pPr>
            <w:r w:rsidRPr="72B6FBF5">
              <w:rPr>
                <w:rFonts w:asciiTheme="minorHAnsi" w:hAnsiTheme="minorHAnsi" w:cstheme="minorBidi"/>
                <w:szCs w:val="22"/>
              </w:rPr>
              <w:lastRenderedPageBreak/>
              <w:t>1. Zaktualizowano liczbę usług o stopniu dojrzałości co najmniej 4</w:t>
            </w:r>
          </w:p>
          <w:p w14:paraId="44D86255" w14:textId="77777777" w:rsidR="003F1D9A" w:rsidRPr="00A06425" w:rsidRDefault="003F1D9A" w:rsidP="003F1D9A">
            <w:pPr>
              <w:rPr>
                <w:rFonts w:asciiTheme="minorHAnsi" w:hAnsiTheme="minorHAnsi" w:cstheme="minorBidi"/>
                <w:szCs w:val="22"/>
              </w:rPr>
            </w:pPr>
            <w:r w:rsidRPr="72B6FBF5">
              <w:rPr>
                <w:rFonts w:asciiTheme="minorHAnsi" w:hAnsiTheme="minorHAnsi" w:cstheme="minorBidi"/>
                <w:szCs w:val="22"/>
              </w:rPr>
              <w:t>2. Nazwę wskaźnika zmieniono zgodnie z treścią uwagi</w:t>
            </w:r>
          </w:p>
          <w:p w14:paraId="073A6150" w14:textId="3C412BEC" w:rsidR="003F1D9A" w:rsidRPr="21C26366" w:rsidRDefault="003F1D9A" w:rsidP="003F1D9A">
            <w:pPr>
              <w:jc w:val="left"/>
              <w:rPr>
                <w:rFonts w:eastAsia="Aptos"/>
                <w:i w:val="0"/>
                <w:color w:val="000000" w:themeColor="text1"/>
              </w:rPr>
            </w:pPr>
            <w:r w:rsidRPr="72B6FBF5">
              <w:rPr>
                <w:rFonts w:asciiTheme="minorHAnsi" w:hAnsiTheme="minorHAnsi" w:cstheme="minorBidi"/>
                <w:szCs w:val="22"/>
              </w:rPr>
              <w:t xml:space="preserve">3. </w:t>
            </w:r>
            <w:r w:rsidRPr="72B6FBF5">
              <w:rPr>
                <w:szCs w:val="22"/>
              </w:rPr>
              <w:t>W wyniku doprecyzowania metodologii pomiaru wskaźników efektywności projektu pozostawiono bez zmian wartość KPI 4, natomiast dokonano korekty wartości KPI 5</w:t>
            </w:r>
            <w:r w:rsidRPr="72B6FBF5">
              <w:rPr>
                <w:rFonts w:asciiTheme="minorHAnsi" w:hAnsiTheme="minorHAnsi" w:cstheme="minorBidi"/>
                <w:szCs w:val="22"/>
              </w:rPr>
              <w:t xml:space="preserve">: </w:t>
            </w:r>
            <w:r w:rsidRPr="72B6FBF5">
              <w:rPr>
                <w:rFonts w:asciiTheme="minorHAnsi" w:eastAsiaTheme="minorEastAsia" w:hAnsiTheme="minorHAnsi" w:cstheme="minorBidi"/>
                <w:szCs w:val="22"/>
              </w:rPr>
              <w:t xml:space="preserve">Zmiana wartości KPI 5 z 10 000 na 30 000 wynika z doprecyzowania metodologii liczenia wskaźnika, decyzji o realizacji wszystkich e-usług na poziomie dojrzałości 4 (transakcja) oraz połączenia projektu </w:t>
            </w:r>
            <w:proofErr w:type="spellStart"/>
            <w:r w:rsidRPr="72B6FBF5">
              <w:rPr>
                <w:rFonts w:asciiTheme="minorHAnsi" w:eastAsiaTheme="minorEastAsia" w:hAnsiTheme="minorHAnsi" w:cstheme="minorBidi"/>
                <w:szCs w:val="22"/>
              </w:rPr>
              <w:t>mLekarz</w:t>
            </w:r>
            <w:proofErr w:type="spellEnd"/>
            <w:r w:rsidRPr="72B6FBF5">
              <w:rPr>
                <w:rFonts w:asciiTheme="minorHAnsi" w:eastAsiaTheme="minorEastAsia" w:hAnsiTheme="minorHAnsi" w:cstheme="minorBidi"/>
                <w:szCs w:val="22"/>
              </w:rPr>
              <w:t xml:space="preserve"> z Wirtualnym Dziekanatem, obsługującym lekarzy odbywających staż podyplomowy. Wskaźnik mierzy liczbę spraw załatwionych całkowicie online, </w:t>
            </w:r>
            <w:r w:rsidRPr="72B6FBF5">
              <w:rPr>
                <w:rFonts w:asciiTheme="minorHAnsi" w:eastAsiaTheme="minorEastAsia" w:hAnsiTheme="minorHAnsi" w:cstheme="minorBidi"/>
                <w:szCs w:val="22"/>
              </w:rPr>
              <w:lastRenderedPageBreak/>
              <w:t>a nie liczbę użytkowników, przy czym jeden użytkownik realizuje w ciągu roku kilka spraw administracyjnych. Przyjęta wartość 30 000 odpowiada konserwatywnemu założeniu 3 spraw rocznie na użytkownika w okresie pilotażowym i pozostaje spójna z zakresem oraz</w:t>
            </w:r>
            <w:r w:rsidRPr="72B6FBF5">
              <w:t xml:space="preserve"> </w:t>
            </w:r>
            <w:r w:rsidRPr="72B6FBF5">
              <w:rPr>
                <w:rFonts w:asciiTheme="minorHAnsi" w:eastAsiaTheme="minorEastAsia" w:hAnsiTheme="minorHAnsi" w:cstheme="minorBidi"/>
                <w:szCs w:val="22"/>
              </w:rPr>
              <w:t>efektywnością projektowanego systemu.</w:t>
            </w:r>
          </w:p>
        </w:tc>
      </w:tr>
      <w:tr w:rsidR="003F1D9A" w14:paraId="36833D45" w14:textId="77777777" w:rsidTr="003F1D9A">
        <w:trPr>
          <w:trHeight w:val="840"/>
        </w:trPr>
        <w:tc>
          <w:tcPr>
            <w:tcW w:w="559" w:type="dxa"/>
          </w:tcPr>
          <w:p w14:paraId="44C9007E" w14:textId="77777777" w:rsidR="003F1D9A" w:rsidRPr="003F7106" w:rsidRDefault="003F1D9A" w:rsidP="003F1D9A">
            <w:pPr>
              <w:pStyle w:val="Akapitzlist"/>
              <w:numPr>
                <w:ilvl w:val="0"/>
                <w:numId w:val="3"/>
              </w:numPr>
              <w:rPr>
                <w:b/>
              </w:rPr>
            </w:pPr>
          </w:p>
        </w:tc>
        <w:tc>
          <w:tcPr>
            <w:tcW w:w="1131" w:type="dxa"/>
          </w:tcPr>
          <w:p w14:paraId="6E24B3AB" w14:textId="2B3EDCCB" w:rsidR="003F1D9A" w:rsidRPr="00F25CCA" w:rsidRDefault="003F1D9A" w:rsidP="003F1D9A">
            <w:pPr>
              <w:ind w:right="61"/>
              <w:jc w:val="center"/>
              <w:rPr>
                <w:b/>
                <w:i w:val="0"/>
              </w:rPr>
            </w:pPr>
            <w:r w:rsidRPr="00A80803">
              <w:rPr>
                <w:rFonts w:asciiTheme="minorHAnsi" w:hAnsiTheme="minorHAnsi" w:cstheme="minorHAnsi"/>
                <w:b/>
                <w:szCs w:val="22"/>
              </w:rPr>
              <w:t>MSWiA</w:t>
            </w:r>
          </w:p>
        </w:tc>
        <w:tc>
          <w:tcPr>
            <w:tcW w:w="1835" w:type="dxa"/>
          </w:tcPr>
          <w:p w14:paraId="110D956B" w14:textId="25A92C58" w:rsidR="003F1D9A" w:rsidRDefault="003F1D9A" w:rsidP="003F1D9A">
            <w:pPr>
              <w:spacing w:line="240" w:lineRule="auto"/>
              <w:jc w:val="center"/>
              <w:rPr>
                <w:i w:val="0"/>
                <w:szCs w:val="22"/>
              </w:rPr>
            </w:pPr>
            <w:r w:rsidRPr="00CA71A0">
              <w:rPr>
                <w:rFonts w:asciiTheme="minorHAnsi" w:hAnsiTheme="minorHAnsi" w:cstheme="minorHAnsi"/>
                <w:szCs w:val="22"/>
              </w:rPr>
              <w:t xml:space="preserve">pkt 7.4 Opis zasobów danych przetwarzanych </w:t>
            </w:r>
            <w:r>
              <w:rPr>
                <w:rFonts w:asciiTheme="minorHAnsi" w:hAnsiTheme="minorHAnsi" w:cstheme="minorHAnsi"/>
                <w:szCs w:val="22"/>
              </w:rPr>
              <w:t xml:space="preserve">    </w:t>
            </w:r>
            <w:r w:rsidRPr="00CA71A0">
              <w:rPr>
                <w:rFonts w:asciiTheme="minorHAnsi" w:hAnsiTheme="minorHAnsi" w:cstheme="minorHAnsi"/>
                <w:szCs w:val="22"/>
              </w:rPr>
              <w:t>w planowanym rozwiązaniu</w:t>
            </w:r>
          </w:p>
        </w:tc>
        <w:tc>
          <w:tcPr>
            <w:tcW w:w="3370" w:type="dxa"/>
          </w:tcPr>
          <w:p w14:paraId="6616E237" w14:textId="77777777" w:rsidR="003F1D9A" w:rsidRPr="00CA71A0" w:rsidRDefault="003F1D9A" w:rsidP="003F1D9A">
            <w:pPr>
              <w:rPr>
                <w:rFonts w:asciiTheme="minorHAnsi" w:hAnsiTheme="minorHAnsi" w:cstheme="minorHAnsi"/>
                <w:szCs w:val="22"/>
              </w:rPr>
            </w:pPr>
            <w:r>
              <w:rPr>
                <w:rFonts w:asciiTheme="minorHAnsi" w:hAnsiTheme="minorHAnsi" w:cstheme="minorHAnsi"/>
                <w:szCs w:val="22"/>
              </w:rPr>
              <w:t>W</w:t>
            </w:r>
            <w:r w:rsidRPr="00CA71A0">
              <w:rPr>
                <w:rFonts w:asciiTheme="minorHAnsi" w:hAnsiTheme="minorHAnsi" w:cstheme="minorHAnsi"/>
                <w:szCs w:val="22"/>
              </w:rPr>
              <w:t xml:space="preserve"> tabeli w pkt nr 5 dotyczącym rejestru PESEL </w:t>
            </w:r>
            <w:r>
              <w:rPr>
                <w:rFonts w:asciiTheme="minorHAnsi" w:hAnsiTheme="minorHAnsi" w:cstheme="minorHAnsi"/>
                <w:szCs w:val="22"/>
              </w:rPr>
              <w:t xml:space="preserve">              </w:t>
            </w:r>
            <w:r w:rsidRPr="00CA71A0">
              <w:rPr>
                <w:rFonts w:asciiTheme="minorHAnsi" w:hAnsiTheme="minorHAnsi" w:cstheme="minorHAnsi"/>
                <w:szCs w:val="22"/>
              </w:rPr>
              <w:t>w kolumnie opis</w:t>
            </w:r>
            <w:r>
              <w:rPr>
                <w:rFonts w:asciiTheme="minorHAnsi" w:hAnsiTheme="minorHAnsi" w:cstheme="minorHAnsi"/>
                <w:szCs w:val="22"/>
              </w:rPr>
              <w:t xml:space="preserve"> wydaje się zasadnym zastąpienie</w:t>
            </w:r>
            <w:r w:rsidRPr="00CA71A0">
              <w:rPr>
                <w:rFonts w:asciiTheme="minorHAnsi" w:hAnsiTheme="minorHAnsi" w:cstheme="minorHAnsi"/>
                <w:szCs w:val="22"/>
              </w:rPr>
              <w:t xml:space="preserve"> użytego opisu:</w:t>
            </w:r>
          </w:p>
          <w:p w14:paraId="16F1454E" w14:textId="77777777" w:rsidR="003F1D9A" w:rsidRPr="00CA71A0" w:rsidRDefault="003F1D9A" w:rsidP="003F1D9A">
            <w:pPr>
              <w:rPr>
                <w:rFonts w:asciiTheme="minorHAnsi" w:hAnsiTheme="minorHAnsi" w:cstheme="minorHAnsi"/>
                <w:szCs w:val="22"/>
              </w:rPr>
            </w:pPr>
            <w:r w:rsidRPr="00CA71A0">
              <w:rPr>
                <w:rFonts w:asciiTheme="minorHAnsi" w:hAnsiTheme="minorHAnsi" w:cstheme="minorHAnsi"/>
                <w:szCs w:val="22"/>
              </w:rPr>
              <w:t>„Państwowy rejestr powszechny, zawierający dane identyfikacyjne wszystkich obywateli Polski oraz cudzoziemców zameldowanych na pobyt</w:t>
            </w:r>
          </w:p>
          <w:p w14:paraId="40FC7556" w14:textId="77777777" w:rsidR="003F1D9A" w:rsidRPr="00CA71A0" w:rsidRDefault="003F1D9A" w:rsidP="003F1D9A">
            <w:pPr>
              <w:rPr>
                <w:rFonts w:asciiTheme="minorHAnsi" w:hAnsiTheme="minorHAnsi" w:cstheme="minorHAnsi"/>
                <w:szCs w:val="22"/>
              </w:rPr>
            </w:pPr>
            <w:r w:rsidRPr="00CA71A0">
              <w:rPr>
                <w:rFonts w:asciiTheme="minorHAnsi" w:hAnsiTheme="minorHAnsi" w:cstheme="minorHAnsi"/>
                <w:szCs w:val="22"/>
              </w:rPr>
              <w:t xml:space="preserve">stały lub czasowy” na opis: </w:t>
            </w:r>
          </w:p>
          <w:p w14:paraId="302E4055" w14:textId="77777777" w:rsidR="003F1D9A" w:rsidRDefault="003F1D9A" w:rsidP="003F1D9A">
            <w:pPr>
              <w:rPr>
                <w:rFonts w:asciiTheme="minorHAnsi" w:hAnsiTheme="minorHAnsi" w:cstheme="minorHAnsi"/>
                <w:szCs w:val="22"/>
              </w:rPr>
            </w:pPr>
            <w:r w:rsidRPr="00DA44CF">
              <w:rPr>
                <w:rFonts w:asciiTheme="minorHAnsi" w:hAnsiTheme="minorHAnsi" w:cstheme="minorHAnsi"/>
                <w:szCs w:val="22"/>
              </w:rPr>
              <w:t>„Rejestr gromadzący dane obywateli polskich zamieszkujących na terytorium Rzeczypospolitej Polskiej lub poza granicami Rzeczypospolitej Polskiej w związku z ubieganiem się o polski dokument tożsamości oraz cudzoziemców zamieszkujących na terytorium Rzeczypospolitej Polskiej, a także dane osób obowiązanych na podstawie odrębnych przepisów do posiadania numeru PESEL.”.</w:t>
            </w:r>
            <w:r>
              <w:rPr>
                <w:rFonts w:asciiTheme="minorHAnsi" w:hAnsiTheme="minorHAnsi" w:cstheme="minorHAnsi"/>
                <w:szCs w:val="22"/>
              </w:rPr>
              <w:t xml:space="preserve"> </w:t>
            </w:r>
          </w:p>
          <w:p w14:paraId="5129EBBB" w14:textId="7966B96B" w:rsidR="003F1D9A" w:rsidRDefault="003F1D9A" w:rsidP="003F1D9A">
            <w:pPr>
              <w:spacing w:after="160"/>
              <w:contextualSpacing/>
              <w:jc w:val="left"/>
              <w:rPr>
                <w:rFonts w:eastAsia="Aptos"/>
                <w:i w:val="0"/>
                <w:color w:val="auto"/>
                <w:szCs w:val="22"/>
                <w:lang w:eastAsia="en-US"/>
              </w:rPr>
            </w:pPr>
            <w:r w:rsidRPr="00CA71A0">
              <w:rPr>
                <w:rFonts w:asciiTheme="minorHAnsi" w:hAnsiTheme="minorHAnsi" w:cstheme="minorHAnsi"/>
                <w:szCs w:val="22"/>
              </w:rPr>
              <w:t xml:space="preserve">Propozycja doprecyzowania wynika z przepisów ustawy z dnia 24 września 2010 r. o ewidencji </w:t>
            </w:r>
            <w:r w:rsidRPr="00CA71A0">
              <w:rPr>
                <w:rFonts w:asciiTheme="minorHAnsi" w:hAnsiTheme="minorHAnsi" w:cstheme="minorHAnsi"/>
                <w:szCs w:val="22"/>
              </w:rPr>
              <w:lastRenderedPageBreak/>
              <w:t>ludności (Dz. U. z 2025 r. poz. 274).</w:t>
            </w:r>
          </w:p>
        </w:tc>
        <w:tc>
          <w:tcPr>
            <w:tcW w:w="2700" w:type="dxa"/>
          </w:tcPr>
          <w:p w14:paraId="5045582C" w14:textId="74E43514" w:rsidR="003F1D9A" w:rsidRPr="00F25CCA" w:rsidRDefault="003F1D9A" w:rsidP="003F1D9A">
            <w:pPr>
              <w:jc w:val="center"/>
              <w:rPr>
                <w:i w:val="0"/>
                <w:iCs/>
                <w:szCs w:val="22"/>
              </w:rPr>
            </w:pPr>
            <w:r w:rsidRPr="00FE4DAE">
              <w:rPr>
                <w:rFonts w:asciiTheme="minorHAnsi" w:hAnsiTheme="minorHAnsi" w:cstheme="minorHAnsi"/>
                <w:szCs w:val="22"/>
              </w:rPr>
              <w:lastRenderedPageBreak/>
              <w:t xml:space="preserve">Propozycja zawarta w treści uwagi. </w:t>
            </w:r>
          </w:p>
        </w:tc>
        <w:tc>
          <w:tcPr>
            <w:tcW w:w="5962" w:type="dxa"/>
          </w:tcPr>
          <w:p w14:paraId="0F5477C3" w14:textId="71D5402A" w:rsidR="003F1D9A" w:rsidRPr="21C26366" w:rsidRDefault="003F1D9A" w:rsidP="003F1D9A">
            <w:pPr>
              <w:jc w:val="left"/>
              <w:rPr>
                <w:rFonts w:eastAsia="Aptos"/>
                <w:i w:val="0"/>
                <w:color w:val="000000" w:themeColor="text1"/>
              </w:rPr>
            </w:pPr>
            <w:r w:rsidRPr="6268E502">
              <w:rPr>
                <w:rFonts w:asciiTheme="minorHAnsi" w:hAnsiTheme="minorHAnsi" w:cstheme="minorBidi"/>
                <w:szCs w:val="22"/>
              </w:rPr>
              <w:t>Opis został z</w:t>
            </w:r>
            <w:r w:rsidRPr="6268E502">
              <w:rPr>
                <w:szCs w:val="22"/>
              </w:rPr>
              <w:t>mieniony zgodnie z propozycją zawartą w treści uwagi.</w:t>
            </w:r>
          </w:p>
        </w:tc>
      </w:tr>
      <w:tr w:rsidR="003F1D9A" w14:paraId="56455085" w14:textId="77777777" w:rsidTr="003F1D9A">
        <w:trPr>
          <w:trHeight w:val="840"/>
        </w:trPr>
        <w:tc>
          <w:tcPr>
            <w:tcW w:w="559" w:type="dxa"/>
          </w:tcPr>
          <w:p w14:paraId="63D25A34" w14:textId="77777777" w:rsidR="003F1D9A" w:rsidRPr="003F7106" w:rsidRDefault="003F1D9A" w:rsidP="003F1D9A">
            <w:pPr>
              <w:pStyle w:val="Akapitzlist"/>
              <w:numPr>
                <w:ilvl w:val="0"/>
                <w:numId w:val="3"/>
              </w:numPr>
              <w:rPr>
                <w:b/>
              </w:rPr>
            </w:pPr>
          </w:p>
        </w:tc>
        <w:tc>
          <w:tcPr>
            <w:tcW w:w="1131" w:type="dxa"/>
          </w:tcPr>
          <w:p w14:paraId="17DB6A70" w14:textId="1D0B8DDC" w:rsidR="003F1D9A" w:rsidRPr="00F25CCA" w:rsidRDefault="003F1D9A" w:rsidP="003F1D9A">
            <w:pPr>
              <w:ind w:right="61"/>
              <w:jc w:val="center"/>
              <w:rPr>
                <w:b/>
                <w:i w:val="0"/>
              </w:rPr>
            </w:pPr>
            <w:r w:rsidRPr="00A80803">
              <w:rPr>
                <w:rFonts w:asciiTheme="minorHAnsi" w:hAnsiTheme="minorHAnsi" w:cstheme="minorHAnsi"/>
                <w:b/>
                <w:szCs w:val="22"/>
              </w:rPr>
              <w:t>MSWiA</w:t>
            </w:r>
          </w:p>
        </w:tc>
        <w:tc>
          <w:tcPr>
            <w:tcW w:w="1835" w:type="dxa"/>
          </w:tcPr>
          <w:p w14:paraId="578F1397" w14:textId="5F4DFB79" w:rsidR="003F1D9A" w:rsidRDefault="003F1D9A" w:rsidP="003F1D9A">
            <w:pPr>
              <w:spacing w:line="240" w:lineRule="auto"/>
              <w:jc w:val="center"/>
              <w:rPr>
                <w:i w:val="0"/>
                <w:szCs w:val="22"/>
              </w:rPr>
            </w:pPr>
            <w:r w:rsidRPr="00CA71A0">
              <w:rPr>
                <w:rFonts w:asciiTheme="minorHAnsi" w:hAnsiTheme="minorHAnsi" w:cstheme="minorHAnsi"/>
                <w:szCs w:val="22"/>
              </w:rPr>
              <w:t>pkt 7.4 Opis zasobów danych przetwarzanych</w:t>
            </w:r>
            <w:r>
              <w:rPr>
                <w:rFonts w:asciiTheme="minorHAnsi" w:hAnsiTheme="minorHAnsi" w:cstheme="minorHAnsi"/>
                <w:szCs w:val="22"/>
              </w:rPr>
              <w:t xml:space="preserve">  </w:t>
            </w:r>
            <w:r w:rsidRPr="00CA71A0">
              <w:rPr>
                <w:rFonts w:asciiTheme="minorHAnsi" w:hAnsiTheme="minorHAnsi" w:cstheme="minorHAnsi"/>
                <w:szCs w:val="22"/>
              </w:rPr>
              <w:t xml:space="preserve"> w planowanym rozwiązaniu</w:t>
            </w:r>
          </w:p>
        </w:tc>
        <w:tc>
          <w:tcPr>
            <w:tcW w:w="3370" w:type="dxa"/>
          </w:tcPr>
          <w:p w14:paraId="4DB546E5" w14:textId="77777777" w:rsidR="003F1D9A" w:rsidRDefault="003F1D9A" w:rsidP="003F1D9A">
            <w:pPr>
              <w:rPr>
                <w:rFonts w:asciiTheme="minorHAnsi" w:hAnsiTheme="minorHAnsi" w:cstheme="minorHAnsi"/>
                <w:szCs w:val="22"/>
              </w:rPr>
            </w:pPr>
            <w:r>
              <w:rPr>
                <w:rFonts w:asciiTheme="minorHAnsi" w:hAnsiTheme="minorHAnsi" w:cstheme="minorHAnsi"/>
                <w:szCs w:val="22"/>
              </w:rPr>
              <w:t>W</w:t>
            </w:r>
            <w:r w:rsidRPr="00CA71A0">
              <w:rPr>
                <w:rFonts w:asciiTheme="minorHAnsi" w:hAnsiTheme="minorHAnsi" w:cstheme="minorHAnsi"/>
                <w:szCs w:val="22"/>
              </w:rPr>
              <w:t xml:space="preserve"> pkt 6 tabeli wskazany został Rejestr PESEL obywateli Ukrainy. Wskazaną w tabeli nazwę rejestru należy zastąpić </w:t>
            </w:r>
            <w:r>
              <w:rPr>
                <w:rFonts w:asciiTheme="minorHAnsi" w:hAnsiTheme="minorHAnsi" w:cstheme="minorHAnsi"/>
                <w:szCs w:val="22"/>
              </w:rPr>
              <w:t xml:space="preserve">nazwą </w:t>
            </w:r>
            <w:r w:rsidRPr="00CA71A0">
              <w:rPr>
                <w:rFonts w:asciiTheme="minorHAnsi" w:hAnsiTheme="minorHAnsi" w:cstheme="minorHAnsi"/>
                <w:szCs w:val="22"/>
              </w:rPr>
              <w:t>rejestr obywateli Ukrainy (ROU).</w:t>
            </w:r>
          </w:p>
          <w:p w14:paraId="26EF7DF2" w14:textId="3E6D9549" w:rsidR="003F1D9A" w:rsidRDefault="003F1D9A" w:rsidP="003F1D9A">
            <w:pPr>
              <w:spacing w:after="160"/>
              <w:contextualSpacing/>
              <w:jc w:val="left"/>
              <w:rPr>
                <w:rFonts w:eastAsia="Aptos"/>
                <w:i w:val="0"/>
                <w:color w:val="auto"/>
                <w:szCs w:val="22"/>
                <w:lang w:eastAsia="en-US"/>
              </w:rPr>
            </w:pPr>
            <w:r w:rsidRPr="00CA71A0">
              <w:rPr>
                <w:rFonts w:asciiTheme="minorHAnsi" w:hAnsiTheme="minorHAnsi" w:cstheme="minorHAnsi"/>
                <w:szCs w:val="22"/>
              </w:rPr>
              <w:t xml:space="preserve"> Rejestr obywateli Ukrainy prowadzi się w systemie teleinformatycznym, o którym mowa </w:t>
            </w:r>
            <w:r>
              <w:rPr>
                <w:rFonts w:asciiTheme="minorHAnsi" w:hAnsiTheme="minorHAnsi" w:cstheme="minorHAnsi"/>
                <w:szCs w:val="22"/>
              </w:rPr>
              <w:t xml:space="preserve">            </w:t>
            </w:r>
            <w:r w:rsidRPr="00CA71A0">
              <w:rPr>
                <w:rFonts w:asciiTheme="minorHAnsi" w:hAnsiTheme="minorHAnsi" w:cstheme="minorHAnsi"/>
                <w:szCs w:val="22"/>
              </w:rPr>
              <w:t xml:space="preserve">w art. 55 ustawy z dnia 6 sierpnia 2010 r. </w:t>
            </w:r>
            <w:r w:rsidRPr="00DA44CF">
              <w:rPr>
                <w:rFonts w:asciiTheme="minorHAnsi" w:hAnsiTheme="minorHAnsi" w:cstheme="minorHAnsi"/>
                <w:szCs w:val="22"/>
              </w:rPr>
              <w:t>o dowodach osobistych</w:t>
            </w:r>
            <w:r w:rsidRPr="00CA71A0">
              <w:rPr>
                <w:rFonts w:asciiTheme="minorHAnsi" w:hAnsiTheme="minorHAnsi" w:cstheme="minorHAnsi"/>
                <w:szCs w:val="22"/>
              </w:rPr>
              <w:t xml:space="preserve">, ale jest to rejestr odrębny od Rejestru Dowodów </w:t>
            </w:r>
            <w:proofErr w:type="gramStart"/>
            <w:r w:rsidRPr="00CA71A0">
              <w:rPr>
                <w:rFonts w:asciiTheme="minorHAnsi" w:hAnsiTheme="minorHAnsi" w:cstheme="minorHAnsi"/>
                <w:szCs w:val="22"/>
              </w:rPr>
              <w:t xml:space="preserve">Osobistych </w:t>
            </w:r>
            <w:r>
              <w:rPr>
                <w:rFonts w:asciiTheme="minorHAnsi" w:hAnsiTheme="minorHAnsi" w:cstheme="minorHAnsi"/>
                <w:szCs w:val="22"/>
              </w:rPr>
              <w:t xml:space="preserve"> </w:t>
            </w:r>
            <w:r w:rsidRPr="00CA71A0">
              <w:rPr>
                <w:rFonts w:asciiTheme="minorHAnsi" w:hAnsiTheme="minorHAnsi" w:cstheme="minorHAnsi"/>
                <w:szCs w:val="22"/>
              </w:rPr>
              <w:t>i</w:t>
            </w:r>
            <w:proofErr w:type="gramEnd"/>
            <w:r w:rsidRPr="00CA71A0">
              <w:rPr>
                <w:rFonts w:asciiTheme="minorHAnsi" w:hAnsiTheme="minorHAnsi" w:cstheme="minorHAnsi"/>
                <w:szCs w:val="22"/>
              </w:rPr>
              <w:t xml:space="preserve"> rejestru PESEL, prowadzony na podstawie przepisów ustawy z dnia 12 marca 2022 r. o pomocy obywatelom Ukrainy w związku z konfliktem zbrojnym na terytorium tego Państwa</w:t>
            </w:r>
            <w:r>
              <w:t xml:space="preserve"> </w:t>
            </w:r>
            <w:r w:rsidRPr="00CA71A0">
              <w:t>(</w:t>
            </w:r>
            <w:r w:rsidRPr="00CA71A0">
              <w:rPr>
                <w:rFonts w:asciiTheme="minorHAnsi" w:hAnsiTheme="minorHAnsi" w:cstheme="minorHAnsi"/>
                <w:szCs w:val="22"/>
              </w:rPr>
              <w:t xml:space="preserve">Dz. U. </w:t>
            </w:r>
            <w:r>
              <w:rPr>
                <w:rFonts w:asciiTheme="minorHAnsi" w:hAnsiTheme="minorHAnsi" w:cstheme="minorHAnsi"/>
                <w:szCs w:val="22"/>
              </w:rPr>
              <w:t xml:space="preserve">                </w:t>
            </w:r>
            <w:r w:rsidRPr="00CA71A0">
              <w:rPr>
                <w:rFonts w:asciiTheme="minorHAnsi" w:hAnsiTheme="minorHAnsi" w:cstheme="minorHAnsi"/>
                <w:szCs w:val="22"/>
              </w:rPr>
              <w:t xml:space="preserve">z 2025 r. poz. 337, z </w:t>
            </w:r>
            <w:proofErr w:type="spellStart"/>
            <w:r w:rsidRPr="00CA71A0">
              <w:rPr>
                <w:rFonts w:asciiTheme="minorHAnsi" w:hAnsiTheme="minorHAnsi" w:cstheme="minorHAnsi"/>
                <w:szCs w:val="22"/>
              </w:rPr>
              <w:t>późn</w:t>
            </w:r>
            <w:proofErr w:type="spellEnd"/>
            <w:r w:rsidRPr="00CA71A0">
              <w:rPr>
                <w:rFonts w:asciiTheme="minorHAnsi" w:hAnsiTheme="minorHAnsi" w:cstheme="minorHAnsi"/>
                <w:szCs w:val="22"/>
              </w:rPr>
              <w:t>. zm.)</w:t>
            </w:r>
            <w:r>
              <w:rPr>
                <w:rFonts w:asciiTheme="minorHAnsi" w:hAnsiTheme="minorHAnsi" w:cstheme="minorHAnsi"/>
                <w:szCs w:val="22"/>
              </w:rPr>
              <w:t xml:space="preserve">. </w:t>
            </w:r>
            <w:r w:rsidRPr="00A1780C">
              <w:rPr>
                <w:rFonts w:asciiTheme="minorHAnsi" w:hAnsiTheme="minorHAnsi" w:cstheme="minorHAnsi"/>
                <w:szCs w:val="22"/>
              </w:rPr>
              <w:t>Wobec powyższego nie jest zasadne w opisie rejestru wskazanie, iż rejestr obywateli Ukrainy jest częścią rejestru PESEL.</w:t>
            </w:r>
          </w:p>
        </w:tc>
        <w:tc>
          <w:tcPr>
            <w:tcW w:w="2700" w:type="dxa"/>
          </w:tcPr>
          <w:p w14:paraId="4CBF6A94" w14:textId="0D04E00C" w:rsidR="003F1D9A" w:rsidRPr="00F25CCA" w:rsidRDefault="003F1D9A" w:rsidP="003F1D9A">
            <w:pPr>
              <w:jc w:val="center"/>
              <w:rPr>
                <w:i w:val="0"/>
                <w:iCs/>
                <w:szCs w:val="22"/>
              </w:rPr>
            </w:pPr>
            <w:r w:rsidRPr="00FE4DAE">
              <w:rPr>
                <w:rFonts w:asciiTheme="minorHAnsi" w:hAnsiTheme="minorHAnsi" w:cstheme="minorHAnsi"/>
                <w:szCs w:val="22"/>
              </w:rPr>
              <w:t>Propozycja zawarta w treści uwagi.</w:t>
            </w:r>
          </w:p>
        </w:tc>
        <w:tc>
          <w:tcPr>
            <w:tcW w:w="5962" w:type="dxa"/>
          </w:tcPr>
          <w:p w14:paraId="0F13EDA0" w14:textId="77777777" w:rsidR="003F1D9A" w:rsidRPr="00A06425" w:rsidRDefault="003F1D9A" w:rsidP="003F1D9A">
            <w:pPr>
              <w:jc w:val="center"/>
              <w:rPr>
                <w:szCs w:val="22"/>
              </w:rPr>
            </w:pPr>
            <w:r w:rsidRPr="490500BC">
              <w:rPr>
                <w:szCs w:val="22"/>
              </w:rPr>
              <w:t>Nazwa rejestru została zastąpiona zgodnie z propozycją zawartą w treści uwagi.</w:t>
            </w:r>
          </w:p>
          <w:p w14:paraId="66689C69" w14:textId="77777777" w:rsidR="003F1D9A" w:rsidRPr="21C26366" w:rsidRDefault="003F1D9A" w:rsidP="003F1D9A">
            <w:pPr>
              <w:jc w:val="left"/>
              <w:rPr>
                <w:rFonts w:eastAsia="Aptos"/>
                <w:i w:val="0"/>
                <w:color w:val="000000" w:themeColor="text1"/>
              </w:rPr>
            </w:pPr>
          </w:p>
        </w:tc>
      </w:tr>
      <w:tr w:rsidR="003F1D9A" w14:paraId="3215B2FB" w14:textId="77777777" w:rsidTr="003F1D9A">
        <w:trPr>
          <w:trHeight w:val="840"/>
        </w:trPr>
        <w:tc>
          <w:tcPr>
            <w:tcW w:w="559" w:type="dxa"/>
          </w:tcPr>
          <w:p w14:paraId="110E8E6E" w14:textId="77777777" w:rsidR="003F1D9A" w:rsidRPr="003F7106" w:rsidRDefault="003F1D9A" w:rsidP="003F1D9A">
            <w:pPr>
              <w:pStyle w:val="Akapitzlist"/>
              <w:numPr>
                <w:ilvl w:val="0"/>
                <w:numId w:val="3"/>
              </w:numPr>
              <w:rPr>
                <w:b/>
              </w:rPr>
            </w:pPr>
          </w:p>
        </w:tc>
        <w:tc>
          <w:tcPr>
            <w:tcW w:w="1131" w:type="dxa"/>
          </w:tcPr>
          <w:p w14:paraId="767ADA30" w14:textId="31CE23C6" w:rsidR="003F1D9A" w:rsidRPr="00F25CCA" w:rsidRDefault="003F1D9A" w:rsidP="003F1D9A">
            <w:pPr>
              <w:ind w:right="61"/>
              <w:jc w:val="center"/>
              <w:rPr>
                <w:b/>
                <w:i w:val="0"/>
              </w:rPr>
            </w:pPr>
            <w:r w:rsidRPr="00F25CCA">
              <w:rPr>
                <w:b/>
                <w:i w:val="0"/>
              </w:rPr>
              <w:t>RA IT</w:t>
            </w:r>
          </w:p>
        </w:tc>
        <w:tc>
          <w:tcPr>
            <w:tcW w:w="1835" w:type="dxa"/>
          </w:tcPr>
          <w:p w14:paraId="62116789" w14:textId="0BEB690A" w:rsidR="003F1D9A" w:rsidRPr="00F25CCA" w:rsidRDefault="003F1D9A" w:rsidP="003F1D9A">
            <w:pPr>
              <w:spacing w:line="240" w:lineRule="auto"/>
              <w:jc w:val="center"/>
              <w:rPr>
                <w:i w:val="0"/>
                <w:szCs w:val="22"/>
              </w:rPr>
            </w:pPr>
            <w:r>
              <w:rPr>
                <w:i w:val="0"/>
                <w:szCs w:val="22"/>
              </w:rPr>
              <w:t>Uwaga ogólna</w:t>
            </w:r>
          </w:p>
        </w:tc>
        <w:tc>
          <w:tcPr>
            <w:tcW w:w="3370" w:type="dxa"/>
          </w:tcPr>
          <w:p w14:paraId="50BDD599" w14:textId="54F9E510" w:rsidR="003F1D9A" w:rsidRPr="00F133CF" w:rsidRDefault="003F1D9A" w:rsidP="003F1D9A">
            <w:pPr>
              <w:spacing w:after="160"/>
              <w:contextualSpacing/>
              <w:jc w:val="left"/>
              <w:rPr>
                <w:rFonts w:eastAsia="Aptos"/>
                <w:i w:val="0"/>
                <w:color w:val="auto"/>
                <w:szCs w:val="22"/>
                <w:lang w:eastAsia="en-US"/>
              </w:rPr>
            </w:pPr>
            <w:r>
              <w:rPr>
                <w:rFonts w:eastAsia="Aptos"/>
                <w:i w:val="0"/>
                <w:color w:val="auto"/>
                <w:szCs w:val="22"/>
                <w:lang w:eastAsia="en-US"/>
              </w:rPr>
              <w:t xml:space="preserve">Czy </w:t>
            </w:r>
            <w:proofErr w:type="spellStart"/>
            <w:r>
              <w:rPr>
                <w:rFonts w:eastAsia="Aptos"/>
                <w:i w:val="0"/>
                <w:color w:val="auto"/>
                <w:szCs w:val="22"/>
                <w:lang w:eastAsia="en-US"/>
              </w:rPr>
              <w:t>mLekarz</w:t>
            </w:r>
            <w:proofErr w:type="spellEnd"/>
            <w:r>
              <w:rPr>
                <w:rFonts w:eastAsia="Aptos"/>
                <w:i w:val="0"/>
                <w:color w:val="auto"/>
                <w:szCs w:val="22"/>
                <w:lang w:eastAsia="en-US"/>
              </w:rPr>
              <w:t xml:space="preserve"> będzie skalował swoje produkty na inne okręgowe izby lekarskie?</w:t>
            </w:r>
          </w:p>
        </w:tc>
        <w:tc>
          <w:tcPr>
            <w:tcW w:w="2700" w:type="dxa"/>
          </w:tcPr>
          <w:p w14:paraId="1DB83ED4" w14:textId="47604509" w:rsidR="003F1D9A" w:rsidRPr="00F25CCA" w:rsidRDefault="003F1D9A" w:rsidP="003F1D9A">
            <w:pPr>
              <w:jc w:val="center"/>
              <w:rPr>
                <w:i w:val="0"/>
                <w:iCs/>
                <w:szCs w:val="22"/>
              </w:rPr>
            </w:pPr>
            <w:r w:rsidRPr="00F25CCA">
              <w:rPr>
                <w:i w:val="0"/>
                <w:iCs/>
                <w:szCs w:val="22"/>
              </w:rPr>
              <w:t>Proszę o analizę i wyjaśnienie lub korektę opisu założeń</w:t>
            </w:r>
          </w:p>
        </w:tc>
        <w:tc>
          <w:tcPr>
            <w:tcW w:w="5962" w:type="dxa"/>
          </w:tcPr>
          <w:p w14:paraId="7535C014" w14:textId="3279B7CB" w:rsidR="003F1D9A" w:rsidRDefault="003F1D9A" w:rsidP="003F1D9A">
            <w:pPr>
              <w:jc w:val="left"/>
              <w:rPr>
                <w:rFonts w:eastAsiaTheme="minorEastAsia"/>
                <w:color w:val="000000" w:themeColor="text1"/>
              </w:rPr>
            </w:pPr>
            <w:r w:rsidRPr="21C26366">
              <w:rPr>
                <w:rFonts w:eastAsia="Aptos"/>
                <w:i w:val="0"/>
                <w:color w:val="000000" w:themeColor="text1"/>
              </w:rPr>
              <w:t xml:space="preserve">Informacja o skalowalności projektu na inne Okręgowe Izby Lekarskie została dodana do pkt 1.1. Identyfikacja problemu i potrzeb: </w:t>
            </w:r>
            <w:r w:rsidRPr="21C26366">
              <w:rPr>
                <w:i w:val="0"/>
                <w:szCs w:val="22"/>
              </w:rPr>
              <w:t xml:space="preserve">Projekt zakłada wdrożenie systemu mLekarz w Okręgowej Izbie Lekarskiej w Warszawie oraz przygotowanie go </w:t>
            </w:r>
            <w:r w:rsidRPr="21C26366">
              <w:rPr>
                <w:i w:val="0"/>
                <w:szCs w:val="22"/>
              </w:rPr>
              <w:lastRenderedPageBreak/>
              <w:t>jako rozwiązania skalowalnego i replikowalnego, gotowego do wdrożenia w innych OIL w Polsce.</w:t>
            </w:r>
          </w:p>
          <w:p w14:paraId="1BBEDC03" w14:textId="6C0A3C29" w:rsidR="003F1D9A" w:rsidRDefault="003F1D9A" w:rsidP="003F1D9A">
            <w:pPr>
              <w:jc w:val="left"/>
              <w:rPr>
                <w:rFonts w:eastAsiaTheme="minorEastAsia"/>
                <w:i w:val="0"/>
                <w:iCs/>
                <w:color w:val="000000" w:themeColor="text1"/>
                <w:szCs w:val="22"/>
              </w:rPr>
            </w:pPr>
          </w:p>
          <w:p w14:paraId="08A89B6B" w14:textId="440A4A9B" w:rsidR="003F1D9A" w:rsidRPr="00250AE8" w:rsidRDefault="003F1D9A" w:rsidP="003F1D9A">
            <w:pPr>
              <w:jc w:val="left"/>
              <w:rPr>
                <w:i w:val="0"/>
              </w:rPr>
            </w:pPr>
            <w:r w:rsidRPr="21C26366">
              <w:rPr>
                <w:i w:val="0"/>
              </w:rPr>
              <w:t>W celu zapewnienia uniwersalności użytkowej, organizacyjnej i technicznej systemu mLekarz, Wnioskodawca przewiduje utworzenie Rady interesariuszy projektu, z udziałem przedstawicieli wybranych okręgowych izb lekarskich, w tym dużych izb (powyżej 15 tys. członków), średnich izb (od 4 do 15 tys. członków) oraz małych izb (poniżej 4 tys. członków), która będzie pełniła funkcję doradczą w zakresie skalowalności i wdrożenia systemu mLekarz w innych OIL w Polsce.</w:t>
            </w:r>
          </w:p>
          <w:p w14:paraId="3CCCBA00" w14:textId="291B129D" w:rsidR="003F1D9A" w:rsidRPr="00250AE8" w:rsidRDefault="003F1D9A" w:rsidP="003F1D9A">
            <w:pPr>
              <w:jc w:val="left"/>
              <w:rPr>
                <w:i w:val="0"/>
              </w:rPr>
            </w:pPr>
          </w:p>
          <w:p w14:paraId="78088D5A" w14:textId="3E3403BA" w:rsidR="003F1D9A" w:rsidRPr="00250AE8" w:rsidRDefault="003F1D9A" w:rsidP="003F1D9A">
            <w:pPr>
              <w:spacing w:after="160" w:line="276" w:lineRule="auto"/>
              <w:jc w:val="left"/>
              <w:rPr>
                <w:i w:val="0"/>
                <w:color w:val="000000" w:themeColor="text1"/>
                <w:szCs w:val="22"/>
              </w:rPr>
            </w:pPr>
            <w:r w:rsidRPr="21C26366">
              <w:rPr>
                <w:i w:val="0"/>
                <w:color w:val="000000" w:themeColor="text1"/>
                <w:szCs w:val="22"/>
              </w:rPr>
              <w:t xml:space="preserve">Nawiązując do uwagi zarówno RA IT, jak i Ministerstwa Cyfryzacji dotyczącej uzasadnienia rozdzielenia projektów „mLekarz – kompleksowa cyfryzacja procesów obsługi członków Okręgowej Izby Lekarskiej w Warszawie” oraz „Wirtualny Dziekanat Stażu Podyplomowego - pilotażowy system cyfrowej obsługi lekarzy stażystów w Okręgowej Izbie Lekarskiej w Warszawie”, pierwotne rozdzielenie projektów było decyzją strategiczną, wynikającą z zasad zarządzania ryzykiem regulacyjnym i organizacyjnym. </w:t>
            </w:r>
            <w:r w:rsidRPr="21C26366">
              <w:rPr>
                <w:i w:val="0"/>
                <w:szCs w:val="22"/>
              </w:rPr>
              <w:t xml:space="preserve">Procesy objęte projektem mLekarz oraz Wirtualny Dziekanat mają charakter trwały i systemowy, wynikający z ustawowych zadań izb lekarskich. </w:t>
            </w:r>
            <w:r w:rsidRPr="21C26366">
              <w:rPr>
                <w:i w:val="0"/>
                <w:color w:val="000000" w:themeColor="text1"/>
                <w:szCs w:val="22"/>
              </w:rPr>
              <w:t xml:space="preserve">Na etapie przygotowania projektu w przestrzeni publicznej pojawiały się informacje o możliwych zmianach w modelu stażu podyplomowego, co uzasadniało ostrożne podejście projektowe. </w:t>
            </w:r>
            <w:r w:rsidRPr="21C26366">
              <w:rPr>
                <w:i w:val="0"/>
                <w:szCs w:val="22"/>
              </w:rPr>
              <w:t>Aktualnie utrzymanie stażu podyplomowego zostało potwierdzone</w:t>
            </w:r>
            <w:r w:rsidRPr="21C26366">
              <w:rPr>
                <w:i w:val="0"/>
                <w:color w:val="000000" w:themeColor="text1"/>
                <w:szCs w:val="22"/>
              </w:rPr>
              <w:t xml:space="preserve">, co zmniejsza ryzyko regulacyjne. Staż podyplomowy pozostaje stałym elementem </w:t>
            </w:r>
            <w:r w:rsidRPr="21C26366">
              <w:rPr>
                <w:i w:val="0"/>
                <w:color w:val="000000" w:themeColor="text1"/>
                <w:szCs w:val="22"/>
              </w:rPr>
              <w:lastRenderedPageBreak/>
              <w:t>ścieżki zawodowej lekarza i powinien być obsługiwany w sposób zintegrowany z pozostałymi procesami systemu mLekarz.</w:t>
            </w:r>
          </w:p>
          <w:p w14:paraId="3087FFC8" w14:textId="75696C2F" w:rsidR="003F1D9A" w:rsidRPr="00250AE8" w:rsidRDefault="003F1D9A" w:rsidP="003F1D9A">
            <w:pPr>
              <w:spacing w:before="240" w:after="240"/>
              <w:jc w:val="left"/>
              <w:rPr>
                <w:i w:val="0"/>
                <w:color w:val="000000" w:themeColor="text1"/>
                <w:szCs w:val="22"/>
              </w:rPr>
            </w:pPr>
            <w:r w:rsidRPr="21C26366">
              <w:rPr>
                <w:i w:val="0"/>
                <w:color w:val="000000" w:themeColor="text1"/>
                <w:szCs w:val="22"/>
              </w:rPr>
              <w:t>W związku z powyższym podjęto decyzję o połączeniu zakresów obu inicjatyw w ramach jednego projektu systemowego mLekarz, przy zachowaniu modułowego podejścia do realizacji. Pozwala to na zapewnienie spójnej architektury, jednolitego modelu danych oraz efektywnego wykorzystania infrastruktury.</w:t>
            </w:r>
          </w:p>
          <w:p w14:paraId="404F023D" w14:textId="7485F800" w:rsidR="003F1D9A" w:rsidRPr="00250AE8" w:rsidRDefault="003F1D9A" w:rsidP="003F1D9A">
            <w:pPr>
              <w:jc w:val="left"/>
              <w:rPr>
                <w:i w:val="0"/>
              </w:rPr>
            </w:pPr>
          </w:p>
        </w:tc>
      </w:tr>
      <w:tr w:rsidR="003F1D9A" w14:paraId="04D51FCE" w14:textId="77777777" w:rsidTr="003F1D9A">
        <w:trPr>
          <w:trHeight w:val="840"/>
        </w:trPr>
        <w:tc>
          <w:tcPr>
            <w:tcW w:w="559" w:type="dxa"/>
          </w:tcPr>
          <w:p w14:paraId="3A30D237" w14:textId="77777777" w:rsidR="003F1D9A" w:rsidRPr="003F7106" w:rsidRDefault="003F1D9A" w:rsidP="003F1D9A">
            <w:pPr>
              <w:pStyle w:val="Akapitzlist"/>
              <w:numPr>
                <w:ilvl w:val="0"/>
                <w:numId w:val="3"/>
              </w:numPr>
              <w:rPr>
                <w:b/>
              </w:rPr>
            </w:pPr>
          </w:p>
        </w:tc>
        <w:tc>
          <w:tcPr>
            <w:tcW w:w="1131" w:type="dxa"/>
          </w:tcPr>
          <w:p w14:paraId="7DFD4E42" w14:textId="4B295BE7" w:rsidR="003F1D9A" w:rsidRPr="00F25CCA" w:rsidRDefault="003F1D9A" w:rsidP="003F1D9A">
            <w:pPr>
              <w:ind w:right="61"/>
              <w:jc w:val="center"/>
              <w:rPr>
                <w:b/>
                <w:i w:val="0"/>
              </w:rPr>
            </w:pPr>
            <w:r w:rsidRPr="00F25CCA">
              <w:rPr>
                <w:b/>
                <w:i w:val="0"/>
              </w:rPr>
              <w:t>RA IT</w:t>
            </w:r>
          </w:p>
        </w:tc>
        <w:tc>
          <w:tcPr>
            <w:tcW w:w="1835" w:type="dxa"/>
          </w:tcPr>
          <w:p w14:paraId="79B048B6" w14:textId="013B320C" w:rsidR="003F1D9A" w:rsidRPr="00F25CCA" w:rsidRDefault="003F1D9A" w:rsidP="003F1D9A">
            <w:pPr>
              <w:spacing w:line="240" w:lineRule="auto"/>
              <w:jc w:val="center"/>
              <w:rPr>
                <w:rFonts w:eastAsia="Times New Roman"/>
                <w:i w:val="0"/>
                <w:szCs w:val="22"/>
              </w:rPr>
            </w:pPr>
            <w:r w:rsidRPr="00F25CCA">
              <w:rPr>
                <w:i w:val="0"/>
                <w:szCs w:val="22"/>
              </w:rPr>
              <w:t>2.1. Cele i korzyści wynikające z projektu</w:t>
            </w:r>
          </w:p>
        </w:tc>
        <w:tc>
          <w:tcPr>
            <w:tcW w:w="3370" w:type="dxa"/>
          </w:tcPr>
          <w:p w14:paraId="7AE26F5D" w14:textId="6981E2E8" w:rsidR="003F1D9A" w:rsidRPr="00F25CCA" w:rsidRDefault="003F1D9A" w:rsidP="003F1D9A">
            <w:pPr>
              <w:spacing w:after="160"/>
              <w:contextualSpacing/>
              <w:jc w:val="left"/>
              <w:rPr>
                <w:rFonts w:eastAsia="Aptos"/>
                <w:i w:val="0"/>
                <w:color w:val="auto"/>
                <w:szCs w:val="22"/>
                <w:lang w:eastAsia="en-US"/>
              </w:rPr>
            </w:pPr>
            <w:r w:rsidRPr="00F133CF">
              <w:rPr>
                <w:rFonts w:eastAsia="Aptos"/>
                <w:i w:val="0"/>
                <w:color w:val="auto"/>
                <w:szCs w:val="22"/>
                <w:lang w:eastAsia="en-US"/>
              </w:rPr>
              <w:t>Zaproponowane mi</w:t>
            </w:r>
            <w:r>
              <w:rPr>
                <w:rFonts w:eastAsia="Aptos"/>
                <w:i w:val="0"/>
                <w:color w:val="auto"/>
                <w:szCs w:val="22"/>
                <w:lang w:eastAsia="en-US"/>
              </w:rPr>
              <w:t>e</w:t>
            </w:r>
            <w:r w:rsidRPr="00F133CF">
              <w:rPr>
                <w:rFonts w:eastAsia="Aptos"/>
                <w:i w:val="0"/>
                <w:color w:val="auto"/>
                <w:szCs w:val="22"/>
                <w:lang w:eastAsia="en-US"/>
              </w:rPr>
              <w:t>rniki nie mierzą tych korzyści</w:t>
            </w:r>
            <w:r>
              <w:rPr>
                <w:rFonts w:eastAsia="Aptos"/>
                <w:i w:val="0"/>
                <w:color w:val="auto"/>
                <w:szCs w:val="22"/>
                <w:lang w:eastAsia="en-US"/>
              </w:rPr>
              <w:t>.</w:t>
            </w:r>
          </w:p>
        </w:tc>
        <w:tc>
          <w:tcPr>
            <w:tcW w:w="2700" w:type="dxa"/>
          </w:tcPr>
          <w:p w14:paraId="5BD74FB9" w14:textId="72C7D094" w:rsidR="003F1D9A" w:rsidRPr="00F25CCA" w:rsidRDefault="003F1D9A" w:rsidP="003F1D9A">
            <w:pPr>
              <w:jc w:val="center"/>
              <w:rPr>
                <w:i w:val="0"/>
                <w:iCs/>
              </w:rPr>
            </w:pPr>
            <w:r w:rsidRPr="00F25CCA">
              <w:rPr>
                <w:i w:val="0"/>
                <w:iCs/>
                <w:szCs w:val="22"/>
              </w:rPr>
              <w:t>Proszę o analizę i wyjaśnienie lub korektę opisu założeń</w:t>
            </w:r>
          </w:p>
        </w:tc>
        <w:tc>
          <w:tcPr>
            <w:tcW w:w="5962" w:type="dxa"/>
          </w:tcPr>
          <w:p w14:paraId="3438A77C" w14:textId="64158F43" w:rsidR="003F1D9A" w:rsidRPr="006208C5" w:rsidRDefault="003F1D9A" w:rsidP="003F1D9A">
            <w:pPr>
              <w:spacing w:line="257" w:lineRule="auto"/>
              <w:jc w:val="left"/>
              <w:rPr>
                <w:rFonts w:eastAsiaTheme="minorEastAsia"/>
                <w:i w:val="0"/>
                <w:iCs/>
                <w:szCs w:val="22"/>
              </w:rPr>
            </w:pPr>
            <w:r w:rsidRPr="006208C5">
              <w:rPr>
                <w:rFonts w:eastAsiaTheme="minorEastAsia"/>
                <w:i w:val="0"/>
                <w:iCs/>
                <w:szCs w:val="22"/>
              </w:rPr>
              <w:t>Dodano wskaźnik własn</w:t>
            </w:r>
            <w:r>
              <w:rPr>
                <w:rFonts w:eastAsiaTheme="minorEastAsia"/>
                <w:i w:val="0"/>
                <w:iCs/>
                <w:szCs w:val="22"/>
              </w:rPr>
              <w:t>y</w:t>
            </w:r>
            <w:r w:rsidRPr="006208C5">
              <w:rPr>
                <w:rFonts w:eastAsiaTheme="minorEastAsia"/>
                <w:i w:val="0"/>
                <w:iCs/>
                <w:szCs w:val="22"/>
              </w:rPr>
              <w:t>:</w:t>
            </w:r>
          </w:p>
          <w:p w14:paraId="7C7E2233" w14:textId="77777777" w:rsidR="003F1D9A" w:rsidRPr="006208C5" w:rsidRDefault="003F1D9A" w:rsidP="003F1D9A">
            <w:pPr>
              <w:spacing w:line="257" w:lineRule="auto"/>
              <w:jc w:val="left"/>
              <w:rPr>
                <w:rFonts w:eastAsiaTheme="minorEastAsia"/>
                <w:i w:val="0"/>
                <w:iCs/>
                <w:szCs w:val="22"/>
              </w:rPr>
            </w:pPr>
            <w:r w:rsidRPr="006208C5">
              <w:rPr>
                <w:rFonts w:eastAsiaTheme="minorEastAsia"/>
                <w:b/>
                <w:bCs/>
                <w:i w:val="0"/>
                <w:iCs/>
                <w:szCs w:val="22"/>
              </w:rPr>
              <w:t>KPI 9:</w:t>
            </w:r>
            <w:r w:rsidRPr="006208C5">
              <w:rPr>
                <w:rFonts w:eastAsiaTheme="minorEastAsia"/>
                <w:i w:val="0"/>
                <w:iCs/>
                <w:szCs w:val="22"/>
              </w:rPr>
              <w:t xml:space="preserve"> Odsetek spraw z automatycznym pobraniem lub weryfikacją danych z systemów zewnętrznych</w:t>
            </w:r>
          </w:p>
          <w:p w14:paraId="0DF2FCC9" w14:textId="77777777" w:rsidR="003F1D9A" w:rsidRPr="006208C5" w:rsidRDefault="003F1D9A" w:rsidP="003F1D9A">
            <w:pPr>
              <w:spacing w:line="257" w:lineRule="auto"/>
              <w:jc w:val="left"/>
              <w:rPr>
                <w:rFonts w:eastAsiaTheme="minorEastAsia"/>
                <w:i w:val="0"/>
                <w:iCs/>
                <w:szCs w:val="22"/>
              </w:rPr>
            </w:pPr>
            <w:r w:rsidRPr="006208C5">
              <w:rPr>
                <w:rFonts w:eastAsiaTheme="minorEastAsia"/>
                <w:i w:val="0"/>
                <w:iCs/>
                <w:szCs w:val="22"/>
              </w:rPr>
              <w:t>Jednostka: %</w:t>
            </w:r>
          </w:p>
          <w:p w14:paraId="3DD8610B" w14:textId="77777777" w:rsidR="003F1D9A" w:rsidRPr="006208C5" w:rsidRDefault="003F1D9A" w:rsidP="003F1D9A">
            <w:pPr>
              <w:spacing w:line="257" w:lineRule="auto"/>
              <w:jc w:val="left"/>
              <w:rPr>
                <w:rFonts w:eastAsiaTheme="minorEastAsia"/>
                <w:i w:val="0"/>
                <w:iCs/>
                <w:szCs w:val="22"/>
              </w:rPr>
            </w:pPr>
            <w:r w:rsidRPr="006208C5">
              <w:rPr>
                <w:rFonts w:eastAsiaTheme="minorEastAsia"/>
                <w:i w:val="0"/>
                <w:iCs/>
                <w:szCs w:val="22"/>
              </w:rPr>
              <w:t>Wartość bazowa: 0%</w:t>
            </w:r>
          </w:p>
          <w:p w14:paraId="310FBB6A" w14:textId="77777777" w:rsidR="003F1D9A" w:rsidRPr="006208C5" w:rsidRDefault="003F1D9A" w:rsidP="003F1D9A">
            <w:pPr>
              <w:spacing w:line="257" w:lineRule="auto"/>
              <w:jc w:val="left"/>
              <w:rPr>
                <w:rFonts w:eastAsiaTheme="minorEastAsia"/>
                <w:i w:val="0"/>
                <w:iCs/>
                <w:szCs w:val="22"/>
              </w:rPr>
            </w:pPr>
            <w:r w:rsidRPr="006208C5">
              <w:rPr>
                <w:rFonts w:eastAsiaTheme="minorEastAsia"/>
                <w:i w:val="0"/>
                <w:iCs/>
                <w:szCs w:val="22"/>
              </w:rPr>
              <w:t>Wartość docelowa: 70%</w:t>
            </w:r>
          </w:p>
          <w:p w14:paraId="439591DF" w14:textId="2A0D3DC6" w:rsidR="003F1D9A" w:rsidRPr="006208C5" w:rsidRDefault="003F1D9A" w:rsidP="003F1D9A">
            <w:pPr>
              <w:spacing w:line="257" w:lineRule="auto"/>
              <w:jc w:val="left"/>
              <w:rPr>
                <w:rFonts w:eastAsiaTheme="minorEastAsia"/>
                <w:i w:val="0"/>
              </w:rPr>
            </w:pPr>
            <w:r w:rsidRPr="21C26366">
              <w:rPr>
                <w:rFonts w:eastAsiaTheme="minorEastAsia"/>
                <w:i w:val="0"/>
              </w:rPr>
              <w:t>Metoda pomiaru: logi integracyjne FINN / RPWDL / SMK</w:t>
            </w:r>
          </w:p>
          <w:p w14:paraId="02E5F3D9" w14:textId="4A720427" w:rsidR="003F1D9A" w:rsidRPr="001B7083" w:rsidRDefault="003F1D9A" w:rsidP="003F1D9A">
            <w:pPr>
              <w:spacing w:line="257" w:lineRule="auto"/>
              <w:jc w:val="left"/>
              <w:rPr>
                <w:rFonts w:eastAsiaTheme="minorEastAsia"/>
                <w:i w:val="0"/>
                <w:iCs/>
                <w:szCs w:val="22"/>
              </w:rPr>
            </w:pPr>
            <w:r w:rsidRPr="006208C5">
              <w:rPr>
                <w:rFonts w:eastAsiaTheme="minorEastAsia"/>
                <w:b/>
                <w:bCs/>
                <w:i w:val="0"/>
                <w:iCs/>
                <w:szCs w:val="22"/>
              </w:rPr>
              <w:t>Domyka korzyść integracyjną</w:t>
            </w:r>
            <w:r w:rsidRPr="006208C5">
              <w:rPr>
                <w:rFonts w:eastAsiaTheme="minorEastAsia"/>
                <w:i w:val="0"/>
                <w:iCs/>
                <w:szCs w:val="22"/>
              </w:rPr>
              <w:t>, której obecnie nie mierzy żaden KPI</w:t>
            </w:r>
          </w:p>
          <w:p w14:paraId="6E1A5FAB" w14:textId="77777777" w:rsidR="003F1D9A" w:rsidRPr="006208C5" w:rsidRDefault="003F1D9A" w:rsidP="003F1D9A">
            <w:pPr>
              <w:jc w:val="left"/>
              <w:rPr>
                <w:i w:val="0"/>
                <w:iCs/>
              </w:rPr>
            </w:pPr>
          </w:p>
        </w:tc>
      </w:tr>
      <w:tr w:rsidR="003F1D9A" w14:paraId="3872C999" w14:textId="77777777" w:rsidTr="003F1D9A">
        <w:trPr>
          <w:trHeight w:val="540"/>
        </w:trPr>
        <w:tc>
          <w:tcPr>
            <w:tcW w:w="559" w:type="dxa"/>
          </w:tcPr>
          <w:p w14:paraId="514B5724" w14:textId="77777777" w:rsidR="003F1D9A" w:rsidRPr="003F7106" w:rsidRDefault="003F1D9A" w:rsidP="003F1D9A">
            <w:pPr>
              <w:pStyle w:val="Akapitzlist"/>
              <w:numPr>
                <w:ilvl w:val="0"/>
                <w:numId w:val="3"/>
              </w:numPr>
              <w:rPr>
                <w:b/>
              </w:rPr>
            </w:pPr>
          </w:p>
        </w:tc>
        <w:tc>
          <w:tcPr>
            <w:tcW w:w="1131" w:type="dxa"/>
          </w:tcPr>
          <w:p w14:paraId="525AF2B8" w14:textId="30596AEF" w:rsidR="003F1D9A" w:rsidRPr="00F25CCA" w:rsidRDefault="003F1D9A" w:rsidP="003F1D9A">
            <w:pPr>
              <w:ind w:right="61"/>
              <w:jc w:val="center"/>
              <w:rPr>
                <w:b/>
                <w:i w:val="0"/>
              </w:rPr>
            </w:pPr>
            <w:r w:rsidRPr="00F25CCA">
              <w:rPr>
                <w:b/>
                <w:i w:val="0"/>
              </w:rPr>
              <w:t>RA IT</w:t>
            </w:r>
          </w:p>
        </w:tc>
        <w:tc>
          <w:tcPr>
            <w:tcW w:w="1835" w:type="dxa"/>
          </w:tcPr>
          <w:p w14:paraId="061E533D" w14:textId="716831C1" w:rsidR="003F1D9A" w:rsidRPr="00F133CF" w:rsidRDefault="003F1D9A" w:rsidP="003F1D9A">
            <w:pPr>
              <w:spacing w:line="240" w:lineRule="auto"/>
              <w:jc w:val="center"/>
              <w:rPr>
                <w:i w:val="0"/>
                <w:szCs w:val="22"/>
              </w:rPr>
            </w:pPr>
            <w:r w:rsidRPr="006C69C1">
              <w:rPr>
                <w:i w:val="0"/>
                <w:color w:val="auto"/>
                <w:szCs w:val="22"/>
              </w:rPr>
              <w:t>2.1. Cele i korzyści wynikające z projektu</w:t>
            </w:r>
          </w:p>
        </w:tc>
        <w:tc>
          <w:tcPr>
            <w:tcW w:w="3370" w:type="dxa"/>
          </w:tcPr>
          <w:p w14:paraId="546C0F32" w14:textId="2294C680" w:rsidR="003F1D9A" w:rsidRPr="00F133CF" w:rsidRDefault="003F1D9A" w:rsidP="003F1D9A">
            <w:pPr>
              <w:spacing w:line="240" w:lineRule="auto"/>
              <w:jc w:val="left"/>
              <w:rPr>
                <w:i w:val="0"/>
                <w:szCs w:val="22"/>
              </w:rPr>
            </w:pPr>
            <w:r>
              <w:rPr>
                <w:i w:val="0"/>
                <w:szCs w:val="22"/>
              </w:rPr>
              <w:t xml:space="preserve">Należy uzupełnić listę wskaźników o </w:t>
            </w:r>
            <w:r w:rsidRPr="008E5640">
              <w:rPr>
                <w:i w:val="0"/>
                <w:szCs w:val="22"/>
              </w:rPr>
              <w:t>wskaźn</w:t>
            </w:r>
            <w:r>
              <w:rPr>
                <w:i w:val="0"/>
                <w:szCs w:val="22"/>
              </w:rPr>
              <w:t>ik</w:t>
            </w:r>
            <w:r w:rsidRPr="008E5640">
              <w:rPr>
                <w:i w:val="0"/>
                <w:szCs w:val="22"/>
              </w:rPr>
              <w:t xml:space="preserve"> rezultatu</w:t>
            </w:r>
            <w:r>
              <w:rPr>
                <w:i w:val="0"/>
                <w:szCs w:val="22"/>
              </w:rPr>
              <w:t xml:space="preserve"> związany z </w:t>
            </w:r>
            <w:r w:rsidRPr="008E5640">
              <w:rPr>
                <w:i w:val="0"/>
                <w:szCs w:val="22"/>
              </w:rPr>
              <w:t>wdrożenie</w:t>
            </w:r>
            <w:r>
              <w:rPr>
                <w:i w:val="0"/>
                <w:szCs w:val="22"/>
              </w:rPr>
              <w:t>m</w:t>
            </w:r>
            <w:r w:rsidRPr="008E5640">
              <w:rPr>
                <w:i w:val="0"/>
                <w:szCs w:val="22"/>
              </w:rPr>
              <w:t xml:space="preserve"> </w:t>
            </w:r>
            <w:r>
              <w:rPr>
                <w:i w:val="0"/>
                <w:szCs w:val="22"/>
              </w:rPr>
              <w:t xml:space="preserve">produktów projektu </w:t>
            </w:r>
            <w:r w:rsidRPr="008E5640">
              <w:rPr>
                <w:i w:val="0"/>
                <w:szCs w:val="22"/>
              </w:rPr>
              <w:t>w innych okręgowych</w:t>
            </w:r>
            <w:r>
              <w:rPr>
                <w:i w:val="0"/>
                <w:szCs w:val="22"/>
              </w:rPr>
              <w:t xml:space="preserve"> izbach lekarskich.</w:t>
            </w:r>
          </w:p>
        </w:tc>
        <w:tc>
          <w:tcPr>
            <w:tcW w:w="2700" w:type="dxa"/>
          </w:tcPr>
          <w:p w14:paraId="508FC84E" w14:textId="09B3EF03" w:rsidR="003F1D9A" w:rsidRPr="00F25CCA" w:rsidRDefault="003F1D9A" w:rsidP="003F1D9A">
            <w:pPr>
              <w:jc w:val="center"/>
              <w:rPr>
                <w:i w:val="0"/>
                <w:iCs/>
                <w:szCs w:val="22"/>
              </w:rPr>
            </w:pPr>
            <w:r w:rsidRPr="00F25CCA">
              <w:rPr>
                <w:i w:val="0"/>
                <w:iCs/>
                <w:szCs w:val="22"/>
              </w:rPr>
              <w:t>Proszę o analizę i wyjaśnienie lub korektę opisu założeń</w:t>
            </w:r>
          </w:p>
        </w:tc>
        <w:tc>
          <w:tcPr>
            <w:tcW w:w="5962" w:type="dxa"/>
          </w:tcPr>
          <w:p w14:paraId="67E0DF15" w14:textId="77777777" w:rsidR="003F1D9A" w:rsidRDefault="003F1D9A" w:rsidP="003F1D9A">
            <w:pPr>
              <w:jc w:val="left"/>
              <w:rPr>
                <w:i w:val="0"/>
              </w:rPr>
            </w:pPr>
            <w:r>
              <w:rPr>
                <w:i w:val="0"/>
              </w:rPr>
              <w:t>Dodano wskaźnik:</w:t>
            </w:r>
          </w:p>
          <w:p w14:paraId="48AF1C96" w14:textId="77777777" w:rsidR="003F1D9A" w:rsidRDefault="003F1D9A" w:rsidP="003F1D9A">
            <w:pPr>
              <w:jc w:val="left"/>
              <w:rPr>
                <w:i w:val="0"/>
              </w:rPr>
            </w:pPr>
          </w:p>
          <w:p w14:paraId="3557F2DA" w14:textId="77777777" w:rsidR="003F1D9A" w:rsidRPr="00F06C75" w:rsidRDefault="003F1D9A" w:rsidP="003F1D9A">
            <w:pPr>
              <w:jc w:val="left"/>
              <w:rPr>
                <w:i w:val="0"/>
              </w:rPr>
            </w:pPr>
            <w:r w:rsidRPr="00F06C75">
              <w:rPr>
                <w:b/>
                <w:bCs/>
                <w:i w:val="0"/>
              </w:rPr>
              <w:t>KPI 10:</w:t>
            </w:r>
            <w:r w:rsidRPr="00F06C75">
              <w:rPr>
                <w:i w:val="0"/>
              </w:rPr>
              <w:br/>
              <w:t xml:space="preserve">Opracowanie i zatwierdzenie dokumentacji umożliwiającej udostępnienie i wdrożenie systemu </w:t>
            </w:r>
            <w:proofErr w:type="spellStart"/>
            <w:r w:rsidRPr="00F06C75">
              <w:rPr>
                <w:i w:val="0"/>
              </w:rPr>
              <w:t>mLekarz</w:t>
            </w:r>
            <w:proofErr w:type="spellEnd"/>
            <w:r w:rsidRPr="00F06C75">
              <w:rPr>
                <w:i w:val="0"/>
              </w:rPr>
              <w:t xml:space="preserve"> w innych okręgowych izbach lekarskich w Polsce.</w:t>
            </w:r>
          </w:p>
          <w:p w14:paraId="0A0C53C4" w14:textId="04B41B91" w:rsidR="003F1D9A" w:rsidRPr="00F06C75" w:rsidRDefault="003F1D9A" w:rsidP="003F1D9A">
            <w:pPr>
              <w:jc w:val="left"/>
              <w:rPr>
                <w:i w:val="0"/>
              </w:rPr>
            </w:pPr>
            <w:r>
              <w:rPr>
                <w:i w:val="0"/>
              </w:rPr>
              <w:t>Wartość bazowa: 0</w:t>
            </w:r>
            <w:r w:rsidRPr="00F06C75">
              <w:rPr>
                <w:i w:val="0"/>
              </w:rPr>
              <w:br/>
              <w:t>Wartość docelowa: 1</w:t>
            </w:r>
          </w:p>
          <w:p w14:paraId="37043BB1" w14:textId="0685B1EE" w:rsidR="003F1D9A" w:rsidRDefault="003F1D9A" w:rsidP="003F1D9A">
            <w:pPr>
              <w:jc w:val="left"/>
              <w:rPr>
                <w:i w:val="0"/>
              </w:rPr>
            </w:pPr>
            <w:r w:rsidRPr="21C26366">
              <w:rPr>
                <w:i w:val="0"/>
              </w:rPr>
              <w:t>Sposób pomiaru: potwierdzenie opracowania i zatwierdzenia dokumentacji architektonicznej systemu mLekarz oraz sporządzenia raportu z konsultacji Rady interesariuszy projektu.</w:t>
            </w:r>
          </w:p>
        </w:tc>
      </w:tr>
      <w:tr w:rsidR="003F1D9A" w14:paraId="6DE20D6F" w14:textId="77777777" w:rsidTr="003F1D9A">
        <w:trPr>
          <w:trHeight w:val="540"/>
        </w:trPr>
        <w:tc>
          <w:tcPr>
            <w:tcW w:w="559" w:type="dxa"/>
          </w:tcPr>
          <w:p w14:paraId="1895CD78" w14:textId="77777777" w:rsidR="003F1D9A" w:rsidRPr="003F7106" w:rsidRDefault="003F1D9A" w:rsidP="003F1D9A">
            <w:pPr>
              <w:pStyle w:val="Akapitzlist"/>
              <w:numPr>
                <w:ilvl w:val="0"/>
                <w:numId w:val="3"/>
              </w:numPr>
              <w:rPr>
                <w:b/>
              </w:rPr>
            </w:pPr>
          </w:p>
        </w:tc>
        <w:tc>
          <w:tcPr>
            <w:tcW w:w="1131" w:type="dxa"/>
          </w:tcPr>
          <w:p w14:paraId="45F82BC7" w14:textId="0CB7851D" w:rsidR="003F1D9A" w:rsidRPr="00F25CCA" w:rsidRDefault="003F1D9A" w:rsidP="003F1D9A">
            <w:pPr>
              <w:ind w:right="61"/>
              <w:jc w:val="center"/>
              <w:rPr>
                <w:b/>
                <w:i w:val="0"/>
              </w:rPr>
            </w:pPr>
            <w:r w:rsidRPr="00F25CCA">
              <w:rPr>
                <w:b/>
                <w:i w:val="0"/>
              </w:rPr>
              <w:t>RA IT</w:t>
            </w:r>
          </w:p>
        </w:tc>
        <w:tc>
          <w:tcPr>
            <w:tcW w:w="1835" w:type="dxa"/>
          </w:tcPr>
          <w:p w14:paraId="5CB455CF" w14:textId="61F8F8BA" w:rsidR="003F1D9A" w:rsidRPr="00C414EA" w:rsidRDefault="003F1D9A" w:rsidP="003F1D9A">
            <w:pPr>
              <w:spacing w:line="240" w:lineRule="auto"/>
              <w:jc w:val="center"/>
              <w:rPr>
                <w:i w:val="0"/>
                <w:szCs w:val="22"/>
              </w:rPr>
            </w:pPr>
            <w:r w:rsidRPr="00C414EA">
              <w:rPr>
                <w:i w:val="0"/>
                <w:szCs w:val="22"/>
              </w:rPr>
              <w:t>2.2. Udostępnione e-usługi</w:t>
            </w:r>
          </w:p>
        </w:tc>
        <w:tc>
          <w:tcPr>
            <w:tcW w:w="3370" w:type="dxa"/>
          </w:tcPr>
          <w:p w14:paraId="0D4CC68F" w14:textId="0D63894E" w:rsidR="003F1D9A" w:rsidRPr="00F25CCA" w:rsidRDefault="003F1D9A" w:rsidP="003F1D9A">
            <w:pPr>
              <w:spacing w:line="240" w:lineRule="auto"/>
              <w:jc w:val="left"/>
              <w:rPr>
                <w:i w:val="0"/>
                <w:szCs w:val="22"/>
              </w:rPr>
            </w:pPr>
            <w:r w:rsidRPr="00F133CF">
              <w:rPr>
                <w:i w:val="0"/>
                <w:szCs w:val="22"/>
              </w:rPr>
              <w:t>Cz</w:t>
            </w:r>
            <w:r>
              <w:rPr>
                <w:i w:val="0"/>
                <w:szCs w:val="22"/>
              </w:rPr>
              <w:t>ę</w:t>
            </w:r>
            <w:r w:rsidRPr="00F133CF">
              <w:rPr>
                <w:i w:val="0"/>
                <w:szCs w:val="22"/>
              </w:rPr>
              <w:t>ść usług jest atomowymi wydarzeniami, które mogą być częścią innych usług. Można odnieść wrażenie, że usługi zostały sztucznie rozdzielone.</w:t>
            </w:r>
          </w:p>
        </w:tc>
        <w:tc>
          <w:tcPr>
            <w:tcW w:w="2700" w:type="dxa"/>
          </w:tcPr>
          <w:p w14:paraId="556A260D" w14:textId="4E716BE7" w:rsidR="003F1D9A" w:rsidRPr="00F25CCA" w:rsidRDefault="003F1D9A" w:rsidP="003F1D9A">
            <w:pPr>
              <w:jc w:val="center"/>
              <w:rPr>
                <w:i w:val="0"/>
                <w:iCs/>
                <w:szCs w:val="22"/>
              </w:rPr>
            </w:pPr>
            <w:r w:rsidRPr="00F25CCA">
              <w:rPr>
                <w:i w:val="0"/>
                <w:iCs/>
                <w:szCs w:val="22"/>
              </w:rPr>
              <w:t>Proszę o analizę i wyjaśnienie lub korektę opisu założeń</w:t>
            </w:r>
          </w:p>
        </w:tc>
        <w:tc>
          <w:tcPr>
            <w:tcW w:w="5962" w:type="dxa"/>
          </w:tcPr>
          <w:p w14:paraId="1A494B79" w14:textId="5682D28F" w:rsidR="003F1D9A" w:rsidRPr="002B722D" w:rsidRDefault="003F1D9A" w:rsidP="003F1D9A">
            <w:pPr>
              <w:spacing w:line="257" w:lineRule="auto"/>
              <w:jc w:val="left"/>
              <w:rPr>
                <w:rFonts w:eastAsiaTheme="minorEastAsia"/>
                <w:i w:val="0"/>
              </w:rPr>
            </w:pPr>
            <w:r w:rsidRPr="21C26366">
              <w:rPr>
                <w:rFonts w:eastAsiaTheme="minorEastAsia"/>
                <w:i w:val="0"/>
              </w:rPr>
              <w:t>W odpowiedzi na uwagę dotyczącą możliwego atomowego charakteru części e-usług, dokonano ponownej analizy katalogu e-usług pod kątem zakresu merytorycznego, interesariuszy oraz relacji organizacyjnych. W wyniku analizy wprowadzono doprecyzowania oraz korekty porządkujące opis usług.</w:t>
            </w:r>
            <w:r w:rsidRPr="21C26366">
              <w:rPr>
                <w:szCs w:val="22"/>
              </w:rPr>
              <w:t xml:space="preserve"> </w:t>
            </w:r>
            <w:r w:rsidRPr="21C26366">
              <w:rPr>
                <w:i w:val="0"/>
                <w:szCs w:val="22"/>
              </w:rPr>
              <w:t>Analiza ta została przeprowadzona również w kontekście połączenia zakresów projektów mLekarz oraz Wirtualny Dziekanat, co skutkowało ujęciem w katalogu e-usług procesów związanych z obsługą stażu podyplomowego.</w:t>
            </w:r>
            <w:r w:rsidRPr="21C26366">
              <w:rPr>
                <w:rFonts w:eastAsiaTheme="minorEastAsia"/>
                <w:i w:val="0"/>
              </w:rPr>
              <w:t xml:space="preserve"> </w:t>
            </w:r>
          </w:p>
          <w:p w14:paraId="03BBB71E" w14:textId="7BE6DD7B" w:rsidR="003F1D9A" w:rsidRDefault="003F1D9A" w:rsidP="003F1D9A">
            <w:pPr>
              <w:spacing w:line="257" w:lineRule="auto"/>
              <w:jc w:val="left"/>
              <w:rPr>
                <w:rFonts w:eastAsiaTheme="minorEastAsia"/>
                <w:i w:val="0"/>
              </w:rPr>
            </w:pPr>
          </w:p>
          <w:p w14:paraId="08E12419" w14:textId="77777777" w:rsidR="003F1D9A" w:rsidRPr="002B722D" w:rsidRDefault="003F1D9A" w:rsidP="003F1D9A">
            <w:pPr>
              <w:spacing w:line="257" w:lineRule="auto"/>
              <w:jc w:val="left"/>
              <w:rPr>
                <w:rFonts w:eastAsiaTheme="minorEastAsia"/>
                <w:i w:val="0"/>
                <w:iCs/>
                <w:szCs w:val="22"/>
              </w:rPr>
            </w:pPr>
            <w:r w:rsidRPr="002B722D">
              <w:rPr>
                <w:rFonts w:eastAsiaTheme="minorEastAsia"/>
                <w:b/>
                <w:bCs/>
                <w:i w:val="0"/>
                <w:iCs/>
                <w:szCs w:val="22"/>
              </w:rPr>
              <w:t>Połączenie e-usług 1 i 3</w:t>
            </w:r>
            <w:r w:rsidRPr="002B722D">
              <w:rPr>
                <w:i w:val="0"/>
                <w:iCs/>
              </w:rPr>
              <w:br/>
            </w:r>
            <w:r w:rsidRPr="002B722D">
              <w:rPr>
                <w:rFonts w:eastAsiaTheme="minorEastAsia"/>
                <w:i w:val="0"/>
                <w:iCs/>
                <w:szCs w:val="22"/>
              </w:rPr>
              <w:t xml:space="preserve"> E-usługi dotyczące: (1) obsługi wniosków o przyznanie prawa wykonywania zawodu lekarza/lekarza dentysty w trybach W-2, W-2A–D, W-4, W-4A oraz (3) obsługi wniosków o odtworzenie PWZ i ponowny wpis lekarzy figurujących w archiwum FINN (W-6), zostały ujęte jako jedna e-usługa pod nazwą:</w:t>
            </w:r>
            <w:r w:rsidRPr="002B722D">
              <w:rPr>
                <w:i w:val="0"/>
                <w:iCs/>
              </w:rPr>
              <w:br/>
            </w:r>
            <w:r w:rsidRPr="002B722D">
              <w:rPr>
                <w:rFonts w:eastAsiaTheme="minorEastAsia"/>
                <w:i w:val="0"/>
                <w:iCs/>
                <w:szCs w:val="22"/>
              </w:rPr>
              <w:t xml:space="preserve"> </w:t>
            </w:r>
            <w:r w:rsidRPr="002B722D">
              <w:rPr>
                <w:rFonts w:eastAsiaTheme="minorEastAsia"/>
                <w:b/>
                <w:bCs/>
                <w:i w:val="0"/>
                <w:iCs/>
                <w:szCs w:val="22"/>
              </w:rPr>
              <w:t>„Obsługa wniosków o przyznanie i odtworzenie prawa wykonywania zawodu lekarza/lekarza dentysty (PWZ)”</w:t>
            </w:r>
            <w:r w:rsidRPr="002B722D">
              <w:rPr>
                <w:rFonts w:eastAsiaTheme="minorEastAsia"/>
                <w:i w:val="0"/>
                <w:iCs/>
                <w:szCs w:val="22"/>
              </w:rPr>
              <w:t>.</w:t>
            </w:r>
          </w:p>
          <w:p w14:paraId="3C39E40E" w14:textId="57C77E9B" w:rsidR="003F1D9A" w:rsidRPr="002B722D" w:rsidRDefault="003F1D9A" w:rsidP="003F1D9A">
            <w:pPr>
              <w:jc w:val="left"/>
              <w:rPr>
                <w:i w:val="0"/>
              </w:rPr>
            </w:pPr>
            <w:r w:rsidRPr="21C26366">
              <w:rPr>
                <w:rFonts w:eastAsiaTheme="minorEastAsia"/>
                <w:i w:val="0"/>
              </w:rPr>
              <w:t>Połączenie jest uzasadnione tożsamością typu sprawy administracyjnej (status PWZ), realizacją przez ten sam organ (OIL Warszawa) oraz tym samym głównym interesariuszem (lekarz).</w:t>
            </w:r>
            <w:r>
              <w:br/>
            </w:r>
            <w:r w:rsidRPr="21C26366">
              <w:rPr>
                <w:rFonts w:eastAsiaTheme="minorEastAsia"/>
                <w:i w:val="0"/>
              </w:rPr>
              <w:t xml:space="preserve">E-usługa obejmuje obsługę wniosków dotyczących przyznania prawa wykonywania zawodu lekarza i lekarza dentysty w trybach W-2, W-2A–D, W-4 i W-4A oraz odtworzenia PWZ i ponownego wpisu lekarzy figurujących w archiwum FINN (W-6). Usługa umożliwia elektroniczne składanie wniosków i załączników, automatyczną weryfikację przynależności oraz danych w systemie FINN, a także generowanie uchwał i wydawanie decyzji z podpisem elektronicznym. Podstawową relacją realizacji usługi jest A2C (lekarz – OIL Warszawa), przy czym w przypadku </w:t>
            </w:r>
            <w:r w:rsidRPr="21C26366">
              <w:rPr>
                <w:rFonts w:eastAsiaTheme="minorEastAsia"/>
                <w:i w:val="0"/>
              </w:rPr>
              <w:lastRenderedPageBreak/>
              <w:t xml:space="preserve">wniosków o przyznanie PWZ występuje dodatkowo relacja A2A lokalna po stronie administracji OIL. </w:t>
            </w:r>
          </w:p>
          <w:p w14:paraId="6442B336" w14:textId="71E49B77" w:rsidR="003F1D9A" w:rsidRPr="002B722D" w:rsidRDefault="003F1D9A" w:rsidP="003F1D9A">
            <w:pPr>
              <w:jc w:val="left"/>
              <w:rPr>
                <w:rFonts w:eastAsiaTheme="minorEastAsia"/>
                <w:b/>
                <w:bCs/>
                <w:i w:val="0"/>
              </w:rPr>
            </w:pPr>
          </w:p>
        </w:tc>
      </w:tr>
      <w:tr w:rsidR="003F1D9A" w14:paraId="1DE39AA9" w14:textId="77777777" w:rsidTr="003F1D9A">
        <w:trPr>
          <w:trHeight w:val="1617"/>
        </w:trPr>
        <w:tc>
          <w:tcPr>
            <w:tcW w:w="559" w:type="dxa"/>
          </w:tcPr>
          <w:p w14:paraId="0DDC1462" w14:textId="77777777" w:rsidR="003F1D9A" w:rsidRPr="003F7106" w:rsidRDefault="003F1D9A" w:rsidP="003F1D9A">
            <w:pPr>
              <w:pStyle w:val="Akapitzlist"/>
              <w:numPr>
                <w:ilvl w:val="0"/>
                <w:numId w:val="3"/>
              </w:numPr>
              <w:rPr>
                <w:b/>
              </w:rPr>
            </w:pPr>
          </w:p>
        </w:tc>
        <w:tc>
          <w:tcPr>
            <w:tcW w:w="1131" w:type="dxa"/>
          </w:tcPr>
          <w:p w14:paraId="4F06B7C9" w14:textId="5FE16F1E" w:rsidR="003F1D9A" w:rsidRPr="00F25CCA" w:rsidRDefault="003F1D9A" w:rsidP="003F1D9A">
            <w:pPr>
              <w:ind w:right="61"/>
              <w:jc w:val="center"/>
              <w:rPr>
                <w:b/>
                <w:i w:val="0"/>
              </w:rPr>
            </w:pPr>
            <w:r w:rsidRPr="006D5F03">
              <w:rPr>
                <w:b/>
                <w:i w:val="0"/>
              </w:rPr>
              <w:t>RA IT</w:t>
            </w:r>
          </w:p>
        </w:tc>
        <w:tc>
          <w:tcPr>
            <w:tcW w:w="1835" w:type="dxa"/>
          </w:tcPr>
          <w:p w14:paraId="4FC57F19" w14:textId="5C4FD0E3" w:rsidR="003F1D9A" w:rsidRPr="00F25CCA" w:rsidRDefault="003F1D9A" w:rsidP="003F1D9A">
            <w:pPr>
              <w:spacing w:line="240" w:lineRule="auto"/>
              <w:jc w:val="center"/>
              <w:rPr>
                <w:i w:val="0"/>
                <w:szCs w:val="22"/>
              </w:rPr>
            </w:pPr>
            <w:r w:rsidRPr="004B4DD4">
              <w:rPr>
                <w:i w:val="0"/>
                <w:szCs w:val="22"/>
              </w:rPr>
              <w:t>2.4. Produkty końcowe projektu</w:t>
            </w:r>
          </w:p>
        </w:tc>
        <w:tc>
          <w:tcPr>
            <w:tcW w:w="3370" w:type="dxa"/>
          </w:tcPr>
          <w:p w14:paraId="172682E7" w14:textId="2D4C771A" w:rsidR="003F1D9A" w:rsidRPr="00F133CF" w:rsidRDefault="003F1D9A" w:rsidP="003F1D9A">
            <w:pPr>
              <w:spacing w:line="240" w:lineRule="auto"/>
              <w:jc w:val="left"/>
              <w:rPr>
                <w:i w:val="0"/>
                <w:szCs w:val="22"/>
              </w:rPr>
            </w:pPr>
            <w:r w:rsidRPr="00F133CF">
              <w:rPr>
                <w:i w:val="0"/>
                <w:szCs w:val="22"/>
              </w:rPr>
              <w:t>Zaskakujące jest najpierw wykonanie integracji systemów (Integracje systemowe - FINN, RPWDL, SMK, Węzeł krajowy, V-Desk, ERP IZBA) a dopiero potem dostarczenie pierwszej wersji systemu mLekarz</w:t>
            </w:r>
            <w:r>
              <w:rPr>
                <w:i w:val="0"/>
                <w:szCs w:val="22"/>
              </w:rPr>
              <w:t>.</w:t>
            </w:r>
          </w:p>
          <w:p w14:paraId="66A9BD31" w14:textId="77777777" w:rsidR="003F1D9A" w:rsidRPr="00F25CCA" w:rsidRDefault="003F1D9A" w:rsidP="003F1D9A">
            <w:pPr>
              <w:spacing w:line="240" w:lineRule="auto"/>
              <w:jc w:val="left"/>
              <w:rPr>
                <w:i w:val="0"/>
                <w:szCs w:val="22"/>
              </w:rPr>
            </w:pPr>
          </w:p>
        </w:tc>
        <w:tc>
          <w:tcPr>
            <w:tcW w:w="2700" w:type="dxa"/>
          </w:tcPr>
          <w:p w14:paraId="18CBFC36" w14:textId="2699A034" w:rsidR="003F1D9A" w:rsidRPr="00F25CCA" w:rsidRDefault="003F1D9A" w:rsidP="003F1D9A">
            <w:pPr>
              <w:jc w:val="center"/>
              <w:rPr>
                <w:i w:val="0"/>
                <w:iCs/>
                <w:szCs w:val="22"/>
              </w:rPr>
            </w:pPr>
            <w:r w:rsidRPr="00F25CCA">
              <w:rPr>
                <w:i w:val="0"/>
                <w:iCs/>
                <w:szCs w:val="22"/>
              </w:rPr>
              <w:t>Proszę o analizę i wyjaśnienie lub korektę opisu założeń</w:t>
            </w:r>
          </w:p>
        </w:tc>
        <w:tc>
          <w:tcPr>
            <w:tcW w:w="5962" w:type="dxa"/>
          </w:tcPr>
          <w:p w14:paraId="1C95009E" w14:textId="77777777" w:rsidR="003F1D9A" w:rsidRPr="00367445" w:rsidRDefault="003F1D9A" w:rsidP="003F1D9A">
            <w:pPr>
              <w:jc w:val="left"/>
              <w:rPr>
                <w:rFonts w:eastAsiaTheme="minorEastAsia"/>
                <w:i w:val="0"/>
                <w:iCs/>
                <w:szCs w:val="22"/>
              </w:rPr>
            </w:pPr>
            <w:r w:rsidRPr="00367445">
              <w:rPr>
                <w:rFonts w:eastAsiaTheme="minorEastAsia"/>
                <w:i w:val="0"/>
                <w:iCs/>
                <w:szCs w:val="22"/>
              </w:rPr>
              <w:t>Integracje z systemami zewnętrznymi (FINN, RPWDL, SMK, Węzeł Krajowy, V-</w:t>
            </w:r>
            <w:proofErr w:type="spellStart"/>
            <w:r w:rsidRPr="00367445">
              <w:rPr>
                <w:rFonts w:eastAsiaTheme="minorEastAsia"/>
                <w:i w:val="0"/>
                <w:iCs/>
                <w:szCs w:val="22"/>
              </w:rPr>
              <w:t>Desk</w:t>
            </w:r>
            <w:proofErr w:type="spellEnd"/>
            <w:r w:rsidRPr="00367445">
              <w:rPr>
                <w:rFonts w:eastAsiaTheme="minorEastAsia"/>
                <w:i w:val="0"/>
                <w:iCs/>
                <w:szCs w:val="22"/>
              </w:rPr>
              <w:t xml:space="preserve">, ERP IZBA) stanowią w projekcie </w:t>
            </w:r>
            <w:proofErr w:type="spellStart"/>
            <w:r w:rsidRPr="00367445">
              <w:rPr>
                <w:rFonts w:eastAsiaTheme="minorEastAsia"/>
                <w:i w:val="0"/>
                <w:iCs/>
                <w:szCs w:val="22"/>
              </w:rPr>
              <w:t>mLekarz</w:t>
            </w:r>
            <w:proofErr w:type="spellEnd"/>
            <w:r w:rsidRPr="00367445">
              <w:rPr>
                <w:rFonts w:eastAsiaTheme="minorEastAsia"/>
                <w:i w:val="0"/>
                <w:iCs/>
                <w:szCs w:val="22"/>
              </w:rPr>
              <w:t xml:space="preserve"> element determinujący model danych oraz sposób realizacji kluczowych procesów biznesowych, dlatego ich realizacja została zaplanowana na wczesnym etapie projektu. Na tym etapie integracje obejmują przede wszystkim ustalenie i weryfikację interfejsów (API), mechanizmów uwierzytelniania oraz scenariuszy wymiany danych. Działania te mają charakter przygotowawczy i projektowy oraz są niezbędne do zapewnienia, że wersja systemu </w:t>
            </w:r>
            <w:proofErr w:type="spellStart"/>
            <w:r w:rsidRPr="00367445">
              <w:rPr>
                <w:rFonts w:eastAsiaTheme="minorEastAsia"/>
                <w:i w:val="0"/>
                <w:iCs/>
                <w:szCs w:val="22"/>
              </w:rPr>
              <w:t>mLekarz</w:t>
            </w:r>
            <w:proofErr w:type="spellEnd"/>
            <w:r w:rsidRPr="00367445">
              <w:rPr>
                <w:rFonts w:eastAsiaTheme="minorEastAsia"/>
                <w:i w:val="0"/>
                <w:iCs/>
                <w:szCs w:val="22"/>
              </w:rPr>
              <w:t xml:space="preserve"> (beta) będzie mogła funkcjonować w rzeczywistym środowisku integracyjnym.</w:t>
            </w:r>
          </w:p>
          <w:p w14:paraId="1B458046" w14:textId="77777777" w:rsidR="003F1D9A" w:rsidRPr="00367445" w:rsidRDefault="003F1D9A" w:rsidP="003F1D9A">
            <w:pPr>
              <w:jc w:val="left"/>
              <w:rPr>
                <w:rFonts w:eastAsiaTheme="minorEastAsia"/>
                <w:i w:val="0"/>
                <w:iCs/>
                <w:szCs w:val="22"/>
              </w:rPr>
            </w:pPr>
            <w:r w:rsidRPr="00367445">
              <w:rPr>
                <w:rFonts w:eastAsiaTheme="minorEastAsia"/>
                <w:i w:val="0"/>
                <w:iCs/>
                <w:szCs w:val="22"/>
              </w:rPr>
              <w:t>Jednocześnie projekt zakłada etapowe uruchamianie integracji, w tym możliwość uruchomienia wybranych integracji przed wdrożeniem wersji beta, w ramach bazowej wersji systemu obsługującej kluczowe procesy, przy zachowaniu ograniczonego zakresu funkcjonalnego.</w:t>
            </w:r>
          </w:p>
          <w:p w14:paraId="5456ACDC" w14:textId="77777777" w:rsidR="003F1D9A" w:rsidRPr="00367445" w:rsidRDefault="003F1D9A" w:rsidP="003F1D9A">
            <w:pPr>
              <w:jc w:val="left"/>
              <w:rPr>
                <w:rFonts w:eastAsiaTheme="minorEastAsia"/>
                <w:i w:val="0"/>
                <w:iCs/>
                <w:szCs w:val="22"/>
              </w:rPr>
            </w:pPr>
            <w:r w:rsidRPr="00367445">
              <w:rPr>
                <w:rFonts w:eastAsiaTheme="minorEastAsia"/>
                <w:i w:val="0"/>
                <w:iCs/>
                <w:szCs w:val="22"/>
              </w:rPr>
              <w:t>W punkcie 5.1 „Ryzyka wpływające na realizację projektu” zidentyfikowano ryzyko trudności integracyjnych z istniejącymi systemami. W odpowiedzi na to ryzyko przewidziano wczesne testy integracyjne, etapowe uruchamianie integracji oraz zaangażowanie dostawców systemów zewnętrznych już na etapie projektowania rozwiązania.</w:t>
            </w:r>
          </w:p>
          <w:p w14:paraId="64975D4F" w14:textId="121BFB68" w:rsidR="003F1D9A" w:rsidRPr="00D7415B" w:rsidRDefault="003F1D9A" w:rsidP="003F1D9A">
            <w:pPr>
              <w:jc w:val="left"/>
              <w:rPr>
                <w:rFonts w:eastAsiaTheme="minorEastAsia"/>
                <w:i w:val="0"/>
                <w:iCs/>
                <w:szCs w:val="22"/>
              </w:rPr>
            </w:pPr>
          </w:p>
        </w:tc>
      </w:tr>
      <w:tr w:rsidR="003F1D9A" w14:paraId="6DEB2C1A" w14:textId="77777777" w:rsidTr="003F1D9A">
        <w:trPr>
          <w:trHeight w:val="1546"/>
        </w:trPr>
        <w:tc>
          <w:tcPr>
            <w:tcW w:w="559" w:type="dxa"/>
          </w:tcPr>
          <w:p w14:paraId="6671B5A0" w14:textId="77777777" w:rsidR="003F1D9A" w:rsidRPr="003F7106" w:rsidRDefault="003F1D9A" w:rsidP="003F1D9A">
            <w:pPr>
              <w:pStyle w:val="Akapitzlist"/>
              <w:numPr>
                <w:ilvl w:val="0"/>
                <w:numId w:val="3"/>
              </w:numPr>
              <w:rPr>
                <w:b/>
              </w:rPr>
            </w:pPr>
          </w:p>
        </w:tc>
        <w:tc>
          <w:tcPr>
            <w:tcW w:w="1131" w:type="dxa"/>
          </w:tcPr>
          <w:p w14:paraId="3351B70F" w14:textId="6670CE64" w:rsidR="003F1D9A" w:rsidRPr="00F25CCA" w:rsidRDefault="003F1D9A" w:rsidP="003F1D9A">
            <w:pPr>
              <w:ind w:right="61"/>
              <w:jc w:val="center"/>
              <w:rPr>
                <w:b/>
                <w:i w:val="0"/>
              </w:rPr>
            </w:pPr>
            <w:r w:rsidRPr="006D5F03">
              <w:rPr>
                <w:b/>
                <w:i w:val="0"/>
              </w:rPr>
              <w:t>RA IT</w:t>
            </w:r>
          </w:p>
        </w:tc>
        <w:tc>
          <w:tcPr>
            <w:tcW w:w="1835" w:type="dxa"/>
          </w:tcPr>
          <w:p w14:paraId="60E87E8F" w14:textId="7D0D7738" w:rsidR="003F1D9A" w:rsidRPr="00E4715F" w:rsidRDefault="003F1D9A" w:rsidP="003F1D9A">
            <w:pPr>
              <w:spacing w:line="240" w:lineRule="auto"/>
              <w:jc w:val="center"/>
              <w:rPr>
                <w:i w:val="0"/>
                <w:szCs w:val="22"/>
              </w:rPr>
            </w:pPr>
            <w:r w:rsidRPr="00E4715F">
              <w:rPr>
                <w:i w:val="0"/>
                <w:szCs w:val="22"/>
              </w:rPr>
              <w:t>2.4. Produkty końcowe projektu</w:t>
            </w:r>
          </w:p>
        </w:tc>
        <w:tc>
          <w:tcPr>
            <w:tcW w:w="3370" w:type="dxa"/>
          </w:tcPr>
          <w:p w14:paraId="43335CD8" w14:textId="36EABC8B" w:rsidR="003F1D9A" w:rsidRPr="00E4715F" w:rsidRDefault="003F1D9A" w:rsidP="003F1D9A">
            <w:pPr>
              <w:spacing w:line="256" w:lineRule="auto"/>
              <w:jc w:val="both"/>
              <w:rPr>
                <w:rFonts w:eastAsia="Aptos"/>
                <w:i w:val="0"/>
                <w:iCs/>
                <w:color w:val="auto"/>
                <w:kern w:val="0"/>
                <w:szCs w:val="22"/>
                <w14:ligatures w14:val="none"/>
              </w:rPr>
            </w:pPr>
            <w:r w:rsidRPr="00E4715F">
              <w:rPr>
                <w:rFonts w:eastAsia="Aptos"/>
                <w:i w:val="0"/>
                <w:iCs/>
                <w:kern w:val="0"/>
                <w:szCs w:val="22"/>
                <w14:ligatures w14:val="none"/>
              </w:rPr>
              <w:t>Czym jest produkt „model utrzymania systemu”? Jeśli są to założenia utrzymania systemu, to powinny być znane na początku projektu.</w:t>
            </w:r>
          </w:p>
          <w:p w14:paraId="524C120F" w14:textId="77777777" w:rsidR="003F1D9A" w:rsidRPr="00E4715F" w:rsidRDefault="003F1D9A" w:rsidP="003F1D9A">
            <w:pPr>
              <w:spacing w:line="240" w:lineRule="auto"/>
              <w:jc w:val="left"/>
              <w:rPr>
                <w:i w:val="0"/>
                <w:iCs/>
                <w:szCs w:val="22"/>
              </w:rPr>
            </w:pPr>
          </w:p>
        </w:tc>
        <w:tc>
          <w:tcPr>
            <w:tcW w:w="2700" w:type="dxa"/>
          </w:tcPr>
          <w:p w14:paraId="4B5DA8AF" w14:textId="6EA3B0CC" w:rsidR="003F1D9A" w:rsidRPr="00E4715F" w:rsidRDefault="003F1D9A" w:rsidP="003F1D9A">
            <w:pPr>
              <w:jc w:val="center"/>
              <w:rPr>
                <w:i w:val="0"/>
                <w:iCs/>
                <w:szCs w:val="22"/>
              </w:rPr>
            </w:pPr>
            <w:r w:rsidRPr="00E4715F">
              <w:rPr>
                <w:i w:val="0"/>
                <w:iCs/>
                <w:szCs w:val="22"/>
              </w:rPr>
              <w:t>Proszę o analizę i wyjaśnienie lub korektę opisu założeń</w:t>
            </w:r>
          </w:p>
        </w:tc>
        <w:tc>
          <w:tcPr>
            <w:tcW w:w="5962" w:type="dxa"/>
          </w:tcPr>
          <w:p w14:paraId="74B62FD4" w14:textId="77777777" w:rsidR="003F1D9A" w:rsidRPr="00B738BE" w:rsidRDefault="003F1D9A" w:rsidP="003F1D9A">
            <w:pPr>
              <w:spacing w:line="276" w:lineRule="auto"/>
              <w:jc w:val="left"/>
              <w:rPr>
                <w:rFonts w:eastAsia="Segoe UI"/>
                <w:i w:val="0"/>
                <w:iCs/>
                <w:color w:val="000000" w:themeColor="text1"/>
                <w:szCs w:val="22"/>
              </w:rPr>
            </w:pPr>
            <w:r w:rsidRPr="00B738BE">
              <w:rPr>
                <w:rFonts w:eastAsiaTheme="minorEastAsia"/>
                <w:i w:val="0"/>
                <w:iCs/>
                <w:color w:val="000000" w:themeColor="text1"/>
                <w:szCs w:val="22"/>
              </w:rPr>
              <w:t xml:space="preserve">Model utrzymania systemu jest zestawem polityk, procedur i innych dokumentów opisujących zasady utrzymania systemu teleinformatycznego </w:t>
            </w:r>
            <w:proofErr w:type="spellStart"/>
            <w:r w:rsidRPr="00B738BE">
              <w:rPr>
                <w:rFonts w:eastAsiaTheme="minorEastAsia"/>
                <w:i w:val="0"/>
                <w:iCs/>
                <w:color w:val="000000" w:themeColor="text1"/>
                <w:szCs w:val="22"/>
              </w:rPr>
              <w:t>mLekarz</w:t>
            </w:r>
            <w:proofErr w:type="spellEnd"/>
            <w:r w:rsidRPr="00B738BE">
              <w:rPr>
                <w:rFonts w:eastAsiaTheme="minorEastAsia"/>
                <w:i w:val="0"/>
                <w:iCs/>
                <w:color w:val="000000" w:themeColor="text1"/>
                <w:szCs w:val="22"/>
              </w:rPr>
              <w:t>. Model ten zostanie stworzony na bazie projektu systemu i w harmonogramie został umiejscowiony bezpośrednio po jego dostarczeniu</w:t>
            </w:r>
            <w:r w:rsidRPr="00B738BE">
              <w:rPr>
                <w:rFonts w:eastAsia="Segoe UI"/>
                <w:i w:val="0"/>
                <w:iCs/>
                <w:color w:val="000000" w:themeColor="text1"/>
                <w:szCs w:val="22"/>
              </w:rPr>
              <w:t>.</w:t>
            </w:r>
          </w:p>
          <w:p w14:paraId="631D163E" w14:textId="0C55BE4C" w:rsidR="003F1D9A" w:rsidRPr="00B738BE" w:rsidRDefault="003F1D9A" w:rsidP="003F1D9A">
            <w:pPr>
              <w:jc w:val="left"/>
              <w:rPr>
                <w:i w:val="0"/>
                <w:iCs/>
              </w:rPr>
            </w:pPr>
            <w:r w:rsidRPr="00B738BE">
              <w:rPr>
                <w:rFonts w:eastAsiaTheme="minorEastAsia"/>
                <w:i w:val="0"/>
                <w:iCs/>
                <w:color w:val="000000" w:themeColor="text1"/>
                <w:szCs w:val="22"/>
              </w:rPr>
              <w:t xml:space="preserve">Dodatkowo, model utrzymania systemu w kontekście finansowym został ujęty w pkt 5.2. dotyczącym </w:t>
            </w:r>
            <w:proofErr w:type="spellStart"/>
            <w:r w:rsidRPr="00B738BE">
              <w:rPr>
                <w:rFonts w:eastAsiaTheme="minorEastAsia"/>
                <w:i w:val="0"/>
                <w:iCs/>
                <w:color w:val="000000" w:themeColor="text1"/>
                <w:szCs w:val="22"/>
              </w:rPr>
              <w:t>ryzyk</w:t>
            </w:r>
            <w:proofErr w:type="spellEnd"/>
            <w:r w:rsidRPr="00B738BE">
              <w:rPr>
                <w:rFonts w:eastAsiaTheme="minorEastAsia"/>
                <w:i w:val="0"/>
                <w:iCs/>
                <w:color w:val="000000" w:themeColor="text1"/>
                <w:szCs w:val="22"/>
              </w:rPr>
              <w:t xml:space="preserve"> wpływających na utrzymanie efektów.</w:t>
            </w:r>
          </w:p>
        </w:tc>
      </w:tr>
      <w:tr w:rsidR="003F1D9A" w14:paraId="2E09A3C3" w14:textId="77777777" w:rsidTr="003F1D9A">
        <w:trPr>
          <w:trHeight w:val="1155"/>
        </w:trPr>
        <w:tc>
          <w:tcPr>
            <w:tcW w:w="559" w:type="dxa"/>
          </w:tcPr>
          <w:p w14:paraId="4753D7B2" w14:textId="77777777" w:rsidR="003F1D9A" w:rsidRPr="003F7106" w:rsidRDefault="003F1D9A" w:rsidP="003F1D9A">
            <w:pPr>
              <w:pStyle w:val="Akapitzlist"/>
              <w:numPr>
                <w:ilvl w:val="0"/>
                <w:numId w:val="3"/>
              </w:numPr>
              <w:rPr>
                <w:b/>
              </w:rPr>
            </w:pPr>
          </w:p>
        </w:tc>
        <w:tc>
          <w:tcPr>
            <w:tcW w:w="1131" w:type="dxa"/>
          </w:tcPr>
          <w:p w14:paraId="7686A7A5" w14:textId="10AAB77C" w:rsidR="003F1D9A" w:rsidRPr="00F25CCA" w:rsidRDefault="003F1D9A" w:rsidP="003F1D9A">
            <w:pPr>
              <w:ind w:right="61"/>
              <w:jc w:val="center"/>
              <w:rPr>
                <w:b/>
                <w:i w:val="0"/>
              </w:rPr>
            </w:pPr>
            <w:r w:rsidRPr="006D5F03">
              <w:rPr>
                <w:b/>
                <w:i w:val="0"/>
              </w:rPr>
              <w:t>RA IT</w:t>
            </w:r>
          </w:p>
        </w:tc>
        <w:tc>
          <w:tcPr>
            <w:tcW w:w="1835" w:type="dxa"/>
          </w:tcPr>
          <w:p w14:paraId="26DA58EF" w14:textId="685E7256" w:rsidR="003F1D9A" w:rsidRPr="00E4715F" w:rsidRDefault="003F1D9A" w:rsidP="003F1D9A">
            <w:pPr>
              <w:spacing w:line="240" w:lineRule="auto"/>
              <w:jc w:val="center"/>
              <w:rPr>
                <w:i w:val="0"/>
                <w:szCs w:val="22"/>
              </w:rPr>
            </w:pPr>
            <w:r w:rsidRPr="00E4715F">
              <w:rPr>
                <w:i w:val="0"/>
                <w:szCs w:val="22"/>
              </w:rPr>
              <w:t>2.4. Produkty końcowe projektu</w:t>
            </w:r>
          </w:p>
        </w:tc>
        <w:tc>
          <w:tcPr>
            <w:tcW w:w="3370" w:type="dxa"/>
          </w:tcPr>
          <w:p w14:paraId="21928332" w14:textId="55CD5FFE" w:rsidR="003F1D9A" w:rsidRPr="00E4715F" w:rsidRDefault="003F1D9A" w:rsidP="003F1D9A">
            <w:pPr>
              <w:spacing w:line="256" w:lineRule="auto"/>
              <w:jc w:val="both"/>
              <w:rPr>
                <w:rFonts w:eastAsia="Aptos"/>
                <w:i w:val="0"/>
                <w:iCs/>
                <w:kern w:val="0"/>
                <w:szCs w:val="22"/>
                <w14:ligatures w14:val="none"/>
              </w:rPr>
            </w:pPr>
            <w:r w:rsidRPr="00E4715F">
              <w:rPr>
                <w:rFonts w:eastAsia="Aptos"/>
                <w:i w:val="0"/>
                <w:iCs/>
                <w:kern w:val="0"/>
                <w:szCs w:val="22"/>
                <w14:ligatures w14:val="none"/>
              </w:rPr>
              <w:t xml:space="preserve">Czas pomiędzy dostarczeniem raportów prywatności, UX, bezpieczeństwa, wydajności a wersją </w:t>
            </w:r>
            <w:proofErr w:type="gramStart"/>
            <w:r w:rsidRPr="00E4715F">
              <w:rPr>
                <w:rFonts w:eastAsia="Aptos"/>
                <w:i w:val="0"/>
                <w:iCs/>
                <w:kern w:val="0"/>
                <w:szCs w:val="22"/>
                <w14:ligatures w14:val="none"/>
              </w:rPr>
              <w:t>finalną</w:t>
            </w:r>
            <w:proofErr w:type="gramEnd"/>
            <w:r w:rsidRPr="00E4715F">
              <w:rPr>
                <w:rFonts w:eastAsia="Aptos"/>
                <w:i w:val="0"/>
                <w:iCs/>
                <w:kern w:val="0"/>
                <w:szCs w:val="22"/>
                <w14:ligatures w14:val="none"/>
              </w:rPr>
              <w:t xml:space="preserve"> systemu mLekarz wynosi od 0 do 2 miesięcy. To za mało by wprowadzić ewentualne korekty w przypadku negatywnych testów. </w:t>
            </w:r>
          </w:p>
        </w:tc>
        <w:tc>
          <w:tcPr>
            <w:tcW w:w="2700" w:type="dxa"/>
          </w:tcPr>
          <w:p w14:paraId="0CBFDBC0" w14:textId="2AD3AF81" w:rsidR="003F1D9A" w:rsidRPr="00E4715F" w:rsidRDefault="003F1D9A" w:rsidP="003F1D9A">
            <w:pPr>
              <w:jc w:val="center"/>
              <w:rPr>
                <w:i w:val="0"/>
                <w:iCs/>
                <w:szCs w:val="22"/>
              </w:rPr>
            </w:pPr>
            <w:r w:rsidRPr="00F25CCA">
              <w:rPr>
                <w:i w:val="0"/>
                <w:iCs/>
                <w:szCs w:val="22"/>
              </w:rPr>
              <w:t>Proszę o analizę i wyjaśnienie lub korektę opisu założeń</w:t>
            </w:r>
          </w:p>
        </w:tc>
        <w:tc>
          <w:tcPr>
            <w:tcW w:w="5962" w:type="dxa"/>
          </w:tcPr>
          <w:p w14:paraId="25EA39DF" w14:textId="77777777" w:rsidR="003F1D9A" w:rsidRDefault="003F1D9A" w:rsidP="003F1D9A">
            <w:pPr>
              <w:jc w:val="left"/>
              <w:rPr>
                <w:rFonts w:eastAsia="Aptos"/>
                <w:i w:val="0"/>
                <w:iCs/>
                <w:szCs w:val="22"/>
              </w:rPr>
            </w:pPr>
            <w:r w:rsidRPr="002F5B4B">
              <w:rPr>
                <w:rFonts w:eastAsia="Aptos"/>
                <w:i w:val="0"/>
                <w:iCs/>
                <w:szCs w:val="22"/>
              </w:rPr>
              <w:t xml:space="preserve">Harmonogram został skorygowany zgodnie z uwagą – raporty z testów prywatności, UX, bezpieczeństwa i wydajności są obecnie planowane na kilka miesięcy przed wersją </w:t>
            </w:r>
            <w:proofErr w:type="gramStart"/>
            <w:r w:rsidRPr="002F5B4B">
              <w:rPr>
                <w:rFonts w:eastAsia="Aptos"/>
                <w:i w:val="0"/>
                <w:iCs/>
                <w:szCs w:val="22"/>
              </w:rPr>
              <w:t>finalną</w:t>
            </w:r>
            <w:proofErr w:type="gramEnd"/>
            <w:r w:rsidRPr="002F5B4B">
              <w:rPr>
                <w:rFonts w:eastAsia="Aptos"/>
                <w:i w:val="0"/>
                <w:iCs/>
                <w:szCs w:val="22"/>
              </w:rPr>
              <w:t xml:space="preserve"> systemu </w:t>
            </w:r>
            <w:bookmarkStart w:id="0" w:name="_Int_QtyfWxJQ"/>
            <w:proofErr w:type="spellStart"/>
            <w:r w:rsidRPr="002F5B4B">
              <w:rPr>
                <w:rFonts w:eastAsia="Aptos"/>
                <w:i w:val="0"/>
                <w:iCs/>
                <w:szCs w:val="22"/>
              </w:rPr>
              <w:t>mLekarz</w:t>
            </w:r>
            <w:bookmarkEnd w:id="0"/>
            <w:proofErr w:type="spellEnd"/>
            <w:r w:rsidRPr="002F5B4B">
              <w:rPr>
                <w:rFonts w:eastAsia="Aptos"/>
                <w:i w:val="0"/>
                <w:iCs/>
                <w:szCs w:val="22"/>
              </w:rPr>
              <w:t>, co zapewnia wystarczający czas na wprowadzenie ewentualnych korekt i ponowną weryfikację przed decyzją Go-Live.</w:t>
            </w:r>
          </w:p>
          <w:p w14:paraId="1025AC69" w14:textId="77777777" w:rsidR="003F1D9A" w:rsidRDefault="003F1D9A" w:rsidP="003F1D9A">
            <w:pPr>
              <w:jc w:val="left"/>
              <w:rPr>
                <w:rFonts w:eastAsia="Aptos"/>
                <w:i w:val="0"/>
                <w:iCs/>
              </w:rPr>
            </w:pPr>
          </w:p>
          <w:p w14:paraId="375E0C46" w14:textId="3052EFB2" w:rsidR="003F1D9A" w:rsidRPr="005C683A" w:rsidRDefault="003F1D9A" w:rsidP="003F1D9A">
            <w:pPr>
              <w:jc w:val="left"/>
              <w:rPr>
                <w:i w:val="0"/>
              </w:rPr>
            </w:pPr>
            <w:r w:rsidRPr="21C26366">
              <w:rPr>
                <w:i w:val="0"/>
              </w:rPr>
              <w:t xml:space="preserve">Jednocześnie projekt zakłada uwzględnienie zasad </w:t>
            </w:r>
            <w:r>
              <w:t>security by design</w:t>
            </w:r>
            <w:r w:rsidRPr="21C26366">
              <w:rPr>
                <w:i w:val="0"/>
              </w:rPr>
              <w:t xml:space="preserve"> i</w:t>
            </w:r>
            <w:r w:rsidRPr="21C26366">
              <w:rPr>
                <w:iCs/>
              </w:rPr>
              <w:t xml:space="preserve"> privacy by design</w:t>
            </w:r>
            <w:r w:rsidRPr="21C26366">
              <w:rPr>
                <w:i w:val="0"/>
              </w:rPr>
              <w:t xml:space="preserve"> już na etapie analizy procesów, poprzez identyfikację przepływów danych oraz wymagań bezpieczeństwa.</w:t>
            </w:r>
          </w:p>
        </w:tc>
      </w:tr>
      <w:tr w:rsidR="003F1D9A" w14:paraId="3D949E9E" w14:textId="77777777" w:rsidTr="003F1D9A">
        <w:trPr>
          <w:trHeight w:val="2925"/>
        </w:trPr>
        <w:tc>
          <w:tcPr>
            <w:tcW w:w="559" w:type="dxa"/>
          </w:tcPr>
          <w:p w14:paraId="2DF6E167" w14:textId="77777777" w:rsidR="003F1D9A" w:rsidRPr="003F7106" w:rsidRDefault="003F1D9A" w:rsidP="003F1D9A">
            <w:pPr>
              <w:pStyle w:val="Akapitzlist"/>
              <w:numPr>
                <w:ilvl w:val="0"/>
                <w:numId w:val="3"/>
              </w:numPr>
              <w:rPr>
                <w:b/>
              </w:rPr>
            </w:pPr>
          </w:p>
        </w:tc>
        <w:tc>
          <w:tcPr>
            <w:tcW w:w="1131" w:type="dxa"/>
          </w:tcPr>
          <w:p w14:paraId="7331FE29" w14:textId="60AA77E5" w:rsidR="003F1D9A" w:rsidRPr="00F25CCA" w:rsidRDefault="003F1D9A" w:rsidP="003F1D9A">
            <w:pPr>
              <w:ind w:right="61"/>
              <w:jc w:val="center"/>
              <w:rPr>
                <w:b/>
                <w:i w:val="0"/>
              </w:rPr>
            </w:pPr>
            <w:r w:rsidRPr="00F25CCA">
              <w:rPr>
                <w:b/>
                <w:i w:val="0"/>
              </w:rPr>
              <w:t>RA IT</w:t>
            </w:r>
          </w:p>
        </w:tc>
        <w:tc>
          <w:tcPr>
            <w:tcW w:w="1835" w:type="dxa"/>
          </w:tcPr>
          <w:p w14:paraId="5FF0719D" w14:textId="40D5D659" w:rsidR="003F1D9A" w:rsidRPr="00C414EA" w:rsidRDefault="003F1D9A" w:rsidP="003F1D9A">
            <w:pPr>
              <w:jc w:val="center"/>
              <w:rPr>
                <w:i w:val="0"/>
              </w:rPr>
            </w:pPr>
            <w:r w:rsidRPr="00C414EA">
              <w:rPr>
                <w:i w:val="0"/>
                <w:szCs w:val="22"/>
              </w:rPr>
              <w:t xml:space="preserve">5.1. Ryzyka wpływające na realizację projektu </w:t>
            </w:r>
          </w:p>
        </w:tc>
        <w:tc>
          <w:tcPr>
            <w:tcW w:w="3370" w:type="dxa"/>
          </w:tcPr>
          <w:p w14:paraId="264384A7" w14:textId="4EF51456" w:rsidR="003F1D9A" w:rsidRPr="00E4715F" w:rsidRDefault="003F1D9A" w:rsidP="003F1D9A">
            <w:pPr>
              <w:spacing w:line="240" w:lineRule="auto"/>
              <w:jc w:val="left"/>
              <w:rPr>
                <w:b/>
                <w:bCs/>
                <w:i w:val="0"/>
                <w:szCs w:val="22"/>
              </w:rPr>
            </w:pPr>
            <w:r w:rsidRPr="00F133CF">
              <w:rPr>
                <w:i w:val="0"/>
                <w:szCs w:val="22"/>
              </w:rPr>
              <w:t>Projekt zakłada modyfikacje systemu FINN - Centralny Rejestr Lekarzy i Lekarzy Dentystów – nie oszacowano ryzyka dostępu do systemu, modyfikacji w trakcie działania.</w:t>
            </w:r>
          </w:p>
        </w:tc>
        <w:tc>
          <w:tcPr>
            <w:tcW w:w="2700" w:type="dxa"/>
          </w:tcPr>
          <w:p w14:paraId="0744D4BC" w14:textId="31459F6A" w:rsidR="003F1D9A" w:rsidRPr="00F25CCA" w:rsidRDefault="003F1D9A" w:rsidP="003F1D9A">
            <w:pPr>
              <w:jc w:val="center"/>
              <w:rPr>
                <w:i w:val="0"/>
                <w:iCs/>
              </w:rPr>
            </w:pPr>
            <w:r w:rsidRPr="00F25CCA">
              <w:rPr>
                <w:i w:val="0"/>
                <w:iCs/>
                <w:szCs w:val="22"/>
              </w:rPr>
              <w:t>Proszę o analizę i wyjaśnienie lub korektę opisu założeń</w:t>
            </w:r>
          </w:p>
        </w:tc>
        <w:tc>
          <w:tcPr>
            <w:tcW w:w="5962" w:type="dxa"/>
          </w:tcPr>
          <w:p w14:paraId="4739C3F1" w14:textId="77777777" w:rsidR="003F1D9A" w:rsidRPr="002A4045" w:rsidRDefault="003F1D9A" w:rsidP="003F1D9A">
            <w:pPr>
              <w:spacing w:line="276" w:lineRule="auto"/>
              <w:jc w:val="left"/>
              <w:rPr>
                <w:rFonts w:eastAsia="Aptos"/>
                <w:i w:val="0"/>
                <w:iCs/>
                <w:szCs w:val="22"/>
              </w:rPr>
            </w:pPr>
            <w:r w:rsidRPr="002A4045">
              <w:rPr>
                <w:rFonts w:eastAsia="Aptos"/>
                <w:i w:val="0"/>
                <w:iCs/>
                <w:szCs w:val="22"/>
              </w:rPr>
              <w:t>Zmodyfikowano ten pkt (ryzyko nr 2) i dodano oprócz dostawców również gestorów systemu.</w:t>
            </w:r>
          </w:p>
          <w:p w14:paraId="76A1F082" w14:textId="0E1ED49D" w:rsidR="003F1D9A" w:rsidRPr="002A4045" w:rsidRDefault="003F1D9A" w:rsidP="003F1D9A">
            <w:pPr>
              <w:jc w:val="left"/>
              <w:rPr>
                <w:i w:val="0"/>
                <w:iCs/>
              </w:rPr>
            </w:pPr>
            <w:r w:rsidRPr="002A4045">
              <w:rPr>
                <w:rFonts w:eastAsia="Aptos"/>
                <w:i w:val="0"/>
                <w:iCs/>
                <w:szCs w:val="22"/>
              </w:rPr>
              <w:t xml:space="preserve">W celu ograniczenia </w:t>
            </w:r>
            <w:proofErr w:type="spellStart"/>
            <w:r w:rsidRPr="002A4045">
              <w:rPr>
                <w:rFonts w:eastAsia="Aptos"/>
                <w:i w:val="0"/>
                <w:iCs/>
                <w:szCs w:val="22"/>
              </w:rPr>
              <w:t>ryzyk</w:t>
            </w:r>
            <w:proofErr w:type="spellEnd"/>
            <w:r w:rsidRPr="002A4045">
              <w:rPr>
                <w:rFonts w:eastAsia="Aptos"/>
                <w:i w:val="0"/>
                <w:iCs/>
                <w:szCs w:val="22"/>
              </w:rPr>
              <w:t xml:space="preserve"> w projekt zostanie włączony przedstawiciel Naczelnej Izby Lekarskiej jako administrator danych oraz gestor systemu FINN, pełniący rolę koordynatora uzgodnień z dostawcami oraz łącznika w zakresie komunikacji i synchronizacji działań z pozostałymi Okręgowymi Izbami Lekarskimi.</w:t>
            </w:r>
          </w:p>
        </w:tc>
      </w:tr>
      <w:tr w:rsidR="003F1D9A" w14:paraId="2A0328FC" w14:textId="77777777" w:rsidTr="003F1D9A">
        <w:trPr>
          <w:trHeight w:val="1261"/>
        </w:trPr>
        <w:tc>
          <w:tcPr>
            <w:tcW w:w="559" w:type="dxa"/>
          </w:tcPr>
          <w:p w14:paraId="74FC3A8D" w14:textId="77777777" w:rsidR="003F1D9A" w:rsidRPr="003F7106" w:rsidRDefault="003F1D9A" w:rsidP="003F1D9A">
            <w:pPr>
              <w:pStyle w:val="Akapitzlist"/>
              <w:numPr>
                <w:ilvl w:val="0"/>
                <w:numId w:val="3"/>
              </w:numPr>
              <w:rPr>
                <w:b/>
              </w:rPr>
            </w:pPr>
          </w:p>
        </w:tc>
        <w:tc>
          <w:tcPr>
            <w:tcW w:w="1131" w:type="dxa"/>
          </w:tcPr>
          <w:p w14:paraId="0B5F2E2F" w14:textId="6051D568" w:rsidR="003F1D9A" w:rsidRPr="00F25CCA" w:rsidRDefault="003F1D9A" w:rsidP="003F1D9A">
            <w:pPr>
              <w:ind w:right="61"/>
              <w:jc w:val="center"/>
              <w:rPr>
                <w:b/>
                <w:i w:val="0"/>
              </w:rPr>
            </w:pPr>
            <w:r w:rsidRPr="00F25CCA">
              <w:rPr>
                <w:b/>
                <w:i w:val="0"/>
              </w:rPr>
              <w:t>RA IT</w:t>
            </w:r>
          </w:p>
        </w:tc>
        <w:tc>
          <w:tcPr>
            <w:tcW w:w="1835" w:type="dxa"/>
          </w:tcPr>
          <w:p w14:paraId="5D7B7765" w14:textId="0619450C" w:rsidR="003F1D9A" w:rsidRPr="00C414EA" w:rsidRDefault="003F1D9A" w:rsidP="003F1D9A">
            <w:pPr>
              <w:jc w:val="center"/>
              <w:rPr>
                <w:i w:val="0"/>
              </w:rPr>
            </w:pPr>
            <w:r w:rsidRPr="00C414EA">
              <w:rPr>
                <w:i w:val="0"/>
              </w:rPr>
              <w:t>7.3. Przyjęte założenia technologiczne</w:t>
            </w:r>
          </w:p>
        </w:tc>
        <w:tc>
          <w:tcPr>
            <w:tcW w:w="3370" w:type="dxa"/>
          </w:tcPr>
          <w:p w14:paraId="64A051FA" w14:textId="53D57C5F" w:rsidR="003F1D9A" w:rsidRPr="00F133CF" w:rsidRDefault="003F1D9A" w:rsidP="003F1D9A">
            <w:pPr>
              <w:jc w:val="both"/>
              <w:rPr>
                <w:i w:val="0"/>
              </w:rPr>
            </w:pPr>
            <w:r w:rsidRPr="00F133CF">
              <w:rPr>
                <w:i w:val="0"/>
              </w:rPr>
              <w:t>Założenia są tak lakonicznie, że nie można się do nich odnieść. Zdecydowanie potrzeba więcej szczegółów dotyczących technologii rozwiązania.</w:t>
            </w:r>
          </w:p>
        </w:tc>
        <w:tc>
          <w:tcPr>
            <w:tcW w:w="2700" w:type="dxa"/>
          </w:tcPr>
          <w:p w14:paraId="7575E06C" w14:textId="3307FC55" w:rsidR="003F1D9A" w:rsidRPr="00F25CCA" w:rsidRDefault="003F1D9A" w:rsidP="003F1D9A">
            <w:pPr>
              <w:jc w:val="center"/>
              <w:rPr>
                <w:i w:val="0"/>
              </w:rPr>
            </w:pPr>
            <w:r w:rsidRPr="00F25CCA">
              <w:rPr>
                <w:i w:val="0"/>
                <w:iCs/>
                <w:szCs w:val="22"/>
              </w:rPr>
              <w:t>Proszę o analizę i korektę opisu założeń</w:t>
            </w:r>
          </w:p>
        </w:tc>
        <w:tc>
          <w:tcPr>
            <w:tcW w:w="5962" w:type="dxa"/>
          </w:tcPr>
          <w:p w14:paraId="462F920F" w14:textId="22140424" w:rsidR="003F1D9A" w:rsidRDefault="003F1D9A" w:rsidP="003F1D9A">
            <w:pPr>
              <w:jc w:val="left"/>
              <w:rPr>
                <w:i w:val="0"/>
              </w:rPr>
            </w:pPr>
            <w:r w:rsidRPr="00EC783D">
              <w:rPr>
                <w:rFonts w:eastAsia="Aptos"/>
                <w:i w:val="0"/>
                <w:iCs/>
                <w:szCs w:val="22"/>
              </w:rPr>
              <w:t>Założenia technologiczne zostały uszczegółowione. Poniżej opis</w:t>
            </w:r>
            <w:r w:rsidRPr="61F731A0">
              <w:rPr>
                <w:rFonts w:ascii="Aptos" w:eastAsia="Aptos" w:hAnsi="Aptos" w:cs="Aptos"/>
                <w:szCs w:val="22"/>
              </w:rPr>
              <w:t>.</w:t>
            </w:r>
          </w:p>
        </w:tc>
      </w:tr>
      <w:tr w:rsidR="003F1D9A" w14:paraId="4BD2D55F" w14:textId="77777777" w:rsidTr="003F1D9A">
        <w:trPr>
          <w:trHeight w:val="1261"/>
        </w:trPr>
        <w:tc>
          <w:tcPr>
            <w:tcW w:w="559" w:type="dxa"/>
          </w:tcPr>
          <w:p w14:paraId="7A0C0819" w14:textId="77777777" w:rsidR="003F1D9A" w:rsidRPr="003F7106" w:rsidRDefault="003F1D9A" w:rsidP="003F1D9A">
            <w:pPr>
              <w:pStyle w:val="Akapitzlist"/>
              <w:numPr>
                <w:ilvl w:val="0"/>
                <w:numId w:val="3"/>
              </w:numPr>
              <w:rPr>
                <w:b/>
              </w:rPr>
            </w:pPr>
          </w:p>
        </w:tc>
        <w:tc>
          <w:tcPr>
            <w:tcW w:w="1131" w:type="dxa"/>
          </w:tcPr>
          <w:p w14:paraId="3A9FA842" w14:textId="097A6DB2" w:rsidR="003F1D9A" w:rsidRPr="00F25CCA" w:rsidRDefault="003F1D9A" w:rsidP="003F1D9A">
            <w:pPr>
              <w:ind w:right="61"/>
              <w:jc w:val="center"/>
              <w:rPr>
                <w:b/>
                <w:i w:val="0"/>
              </w:rPr>
            </w:pPr>
            <w:r w:rsidRPr="00F25CCA">
              <w:rPr>
                <w:b/>
                <w:i w:val="0"/>
              </w:rPr>
              <w:t>RA IT</w:t>
            </w:r>
          </w:p>
        </w:tc>
        <w:tc>
          <w:tcPr>
            <w:tcW w:w="1835" w:type="dxa"/>
          </w:tcPr>
          <w:p w14:paraId="1A06CB83" w14:textId="478BD0B7" w:rsidR="003F1D9A" w:rsidRPr="00C414EA" w:rsidRDefault="003F1D9A" w:rsidP="003F1D9A">
            <w:pPr>
              <w:jc w:val="center"/>
              <w:rPr>
                <w:i w:val="0"/>
              </w:rPr>
            </w:pPr>
            <w:r w:rsidRPr="00C414EA">
              <w:rPr>
                <w:i w:val="0"/>
              </w:rPr>
              <w:t>7.4. Opis zasobów danych przetwarzanych w planowanym rozwiązaniu</w:t>
            </w:r>
          </w:p>
        </w:tc>
        <w:tc>
          <w:tcPr>
            <w:tcW w:w="3370" w:type="dxa"/>
          </w:tcPr>
          <w:p w14:paraId="11BA2AC6" w14:textId="2C1584FD" w:rsidR="003F1D9A" w:rsidRPr="00F133CF" w:rsidRDefault="003F1D9A" w:rsidP="003F1D9A">
            <w:pPr>
              <w:jc w:val="both"/>
              <w:rPr>
                <w:i w:val="0"/>
              </w:rPr>
            </w:pPr>
            <w:r>
              <w:rPr>
                <w:i w:val="0"/>
              </w:rPr>
              <w:t>Należy zweryfikować opis rejestru PESEL dla obywateli Ukrainy.</w:t>
            </w:r>
          </w:p>
        </w:tc>
        <w:tc>
          <w:tcPr>
            <w:tcW w:w="2700" w:type="dxa"/>
          </w:tcPr>
          <w:p w14:paraId="2E079AAA" w14:textId="52EAEA05" w:rsidR="003F1D9A" w:rsidRPr="00F25CCA" w:rsidRDefault="003F1D9A" w:rsidP="003F1D9A">
            <w:pPr>
              <w:jc w:val="center"/>
              <w:rPr>
                <w:i w:val="0"/>
                <w:iCs/>
                <w:szCs w:val="22"/>
              </w:rPr>
            </w:pPr>
            <w:r w:rsidRPr="00F25CCA">
              <w:rPr>
                <w:i w:val="0"/>
                <w:iCs/>
                <w:szCs w:val="22"/>
              </w:rPr>
              <w:t>Proszę o analizę i korektę opisu założeń</w:t>
            </w:r>
          </w:p>
        </w:tc>
        <w:tc>
          <w:tcPr>
            <w:tcW w:w="5962" w:type="dxa"/>
          </w:tcPr>
          <w:p w14:paraId="74C53017" w14:textId="273C4FD7" w:rsidR="003F1D9A" w:rsidRPr="000F7ACA" w:rsidRDefault="003F1D9A" w:rsidP="003F1D9A">
            <w:pPr>
              <w:jc w:val="left"/>
              <w:rPr>
                <w:i w:val="0"/>
                <w:iCs/>
              </w:rPr>
            </w:pPr>
            <w:r w:rsidRPr="000F7ACA">
              <w:rPr>
                <w:rFonts w:eastAsia="Aptos"/>
                <w:i w:val="0"/>
                <w:iCs/>
                <w:szCs w:val="22"/>
              </w:rPr>
              <w:t>Opis zweryfikowano i zmieniono</w:t>
            </w:r>
          </w:p>
        </w:tc>
      </w:tr>
    </w:tbl>
    <w:p w14:paraId="63630B4E" w14:textId="77777777" w:rsidR="004550C1" w:rsidRDefault="0036681E">
      <w:pPr>
        <w:jc w:val="left"/>
        <w:rPr>
          <w:i w:val="0"/>
        </w:rPr>
      </w:pPr>
      <w:r>
        <w:rPr>
          <w:i w:val="0"/>
        </w:rPr>
        <w:t xml:space="preserve"> </w:t>
      </w:r>
    </w:p>
    <w:p w14:paraId="5D48F0CF" w14:textId="77777777" w:rsidR="00ED370B" w:rsidRDefault="00ED370B">
      <w:pPr>
        <w:jc w:val="left"/>
        <w:rPr>
          <w:i w:val="0"/>
        </w:rPr>
      </w:pPr>
    </w:p>
    <w:p w14:paraId="6A4A7584" w14:textId="77777777" w:rsidR="00ED370B" w:rsidRDefault="00ED370B" w:rsidP="00ED370B">
      <w:pPr>
        <w:jc w:val="left"/>
        <w:rPr>
          <w:i w:val="0"/>
          <w:iCs/>
          <w:szCs w:val="22"/>
        </w:rPr>
      </w:pPr>
      <w:r w:rsidRPr="00ED370B">
        <w:rPr>
          <w:i w:val="0"/>
          <w:iCs/>
          <w:szCs w:val="22"/>
        </w:rPr>
        <w:t>Założenia technologiczne:</w:t>
      </w:r>
    </w:p>
    <w:p w14:paraId="46D947CE" w14:textId="77777777" w:rsidR="00F418E6" w:rsidRPr="00ED370B" w:rsidRDefault="00F418E6" w:rsidP="00ED370B">
      <w:pPr>
        <w:jc w:val="left"/>
        <w:rPr>
          <w:i w:val="0"/>
          <w:iCs/>
          <w:szCs w:val="22"/>
        </w:rPr>
      </w:pPr>
    </w:p>
    <w:tbl>
      <w:tblPr>
        <w:tblW w:w="15570" w:type="dxa"/>
        <w:tblInd w:w="-818"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708"/>
        <w:gridCol w:w="12862"/>
      </w:tblGrid>
      <w:tr w:rsidR="00ED370B" w14:paraId="65BFA71F" w14:textId="77777777" w:rsidTr="00F418E6">
        <w:trPr>
          <w:trHeight w:val="315"/>
        </w:trPr>
        <w:tc>
          <w:tcPr>
            <w:tcW w:w="2708" w:type="dxa"/>
            <w:tcBorders>
              <w:top w:val="single" w:sz="6" w:space="0" w:color="CCCCCC"/>
              <w:left w:val="single" w:sz="6" w:space="0" w:color="CCCCCC"/>
              <w:bottom w:val="single" w:sz="6" w:space="0" w:color="CCCCCC"/>
              <w:right w:val="single" w:sz="6" w:space="0" w:color="CCCCCC"/>
            </w:tcBorders>
            <w:shd w:val="clear" w:color="auto" w:fill="E7E6E6"/>
          </w:tcPr>
          <w:p w14:paraId="458B2B1C"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b/>
                <w:bCs/>
                <w:color w:val="000000" w:themeColor="text1"/>
                <w:sz w:val="22"/>
                <w:szCs w:val="22"/>
              </w:rPr>
              <w:t>Obszar</w:t>
            </w:r>
            <w:r w:rsidRPr="00ED370B">
              <w:rPr>
                <w:rFonts w:ascii="Calibri" w:eastAsia="Aptos" w:hAnsi="Calibri" w:cs="Calibri"/>
                <w:color w:val="000000" w:themeColor="text1"/>
                <w:sz w:val="22"/>
                <w:szCs w:val="22"/>
              </w:rPr>
              <w:t> </w:t>
            </w:r>
          </w:p>
        </w:tc>
        <w:tc>
          <w:tcPr>
            <w:tcW w:w="12862" w:type="dxa"/>
            <w:tcBorders>
              <w:top w:val="single" w:sz="6" w:space="0" w:color="CCCCCC"/>
              <w:left w:val="single" w:sz="6" w:space="0" w:color="CCCCCC"/>
              <w:bottom w:val="single" w:sz="6" w:space="0" w:color="CCCCCC"/>
              <w:right w:val="single" w:sz="6" w:space="0" w:color="CCCCCC"/>
            </w:tcBorders>
            <w:shd w:val="clear" w:color="auto" w:fill="E7E6E6"/>
          </w:tcPr>
          <w:p w14:paraId="0701A911"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b/>
                <w:bCs/>
                <w:color w:val="000000" w:themeColor="text1"/>
                <w:sz w:val="22"/>
                <w:szCs w:val="22"/>
              </w:rPr>
              <w:t>Założenie technologiczne</w:t>
            </w:r>
            <w:r w:rsidRPr="00ED370B">
              <w:rPr>
                <w:rFonts w:ascii="Calibri" w:eastAsia="Aptos" w:hAnsi="Calibri" w:cs="Calibri"/>
                <w:color w:val="000000" w:themeColor="text1"/>
                <w:sz w:val="22"/>
                <w:szCs w:val="22"/>
              </w:rPr>
              <w:t> </w:t>
            </w:r>
          </w:p>
        </w:tc>
      </w:tr>
      <w:tr w:rsidR="00ED370B" w14:paraId="0209418F" w14:textId="77777777" w:rsidTr="00F418E6">
        <w:trPr>
          <w:trHeight w:val="1845"/>
        </w:trPr>
        <w:tc>
          <w:tcPr>
            <w:tcW w:w="2708" w:type="dxa"/>
            <w:tcBorders>
              <w:top w:val="single" w:sz="6" w:space="0" w:color="CCCCCC"/>
              <w:left w:val="single" w:sz="6" w:space="0" w:color="CCCCCC"/>
              <w:bottom w:val="single" w:sz="6" w:space="0" w:color="CCCCCC"/>
              <w:right w:val="single" w:sz="6" w:space="0" w:color="CCCCCC"/>
            </w:tcBorders>
          </w:tcPr>
          <w:p w14:paraId="047B4813"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color w:val="000000" w:themeColor="text1"/>
                <w:sz w:val="22"/>
                <w:szCs w:val="22"/>
              </w:rPr>
              <w:t>Infrastruktura </w:t>
            </w:r>
          </w:p>
        </w:tc>
        <w:tc>
          <w:tcPr>
            <w:tcW w:w="12862" w:type="dxa"/>
            <w:tcBorders>
              <w:top w:val="single" w:sz="6" w:space="0" w:color="CCCCCC"/>
              <w:left w:val="single" w:sz="6" w:space="0" w:color="CCCCCC"/>
              <w:bottom w:val="single" w:sz="6" w:space="0" w:color="CCCCCC"/>
              <w:right w:val="single" w:sz="6" w:space="0" w:color="CCCCCC"/>
            </w:tcBorders>
          </w:tcPr>
          <w:p w14:paraId="0888C564" w14:textId="7D737596"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System będzie oparty na skalowalnej i wysokodostępnej infrastrukturze teleinformatycznej, opartej o wirtualizację i konteneryzację, zapewniającej odporność na awarie oraz możliwość dynamicznego skalowania w odpowiedzi na zmienne obciążenia. Zakłada się eliminację pojedynczych punktów awarii (SPOF) na wszystkich poziomach – od warstwy sprzętowej, przez wirtualizację, aż po warstwę aplikacyjną.</w:t>
            </w:r>
            <w:r w:rsidRPr="00ED370B">
              <w:rPr>
                <w:i w:val="0"/>
                <w:iCs/>
              </w:rPr>
              <w:br/>
            </w:r>
            <w:r w:rsidRPr="00ED370B">
              <w:rPr>
                <w:rFonts w:eastAsia="Aptos"/>
                <w:i w:val="0"/>
                <w:iCs/>
                <w:color w:val="000000" w:themeColor="text1"/>
                <w:szCs w:val="22"/>
              </w:rPr>
              <w:t>Infrastruktura będzie przygotowana do pracy w trybie ciągłym (24/7), z uwzględnieniem procedur odtwarzania po awarii (</w:t>
            </w:r>
            <w:proofErr w:type="spellStart"/>
            <w:r w:rsidRPr="00ED370B">
              <w:rPr>
                <w:rFonts w:eastAsia="Aptos"/>
                <w:i w:val="0"/>
                <w:iCs/>
                <w:color w:val="000000" w:themeColor="text1"/>
                <w:szCs w:val="22"/>
              </w:rPr>
              <w:t>Disaster</w:t>
            </w:r>
            <w:proofErr w:type="spellEnd"/>
            <w:r w:rsidRPr="00ED370B">
              <w:rPr>
                <w:rFonts w:eastAsia="Aptos"/>
                <w:i w:val="0"/>
                <w:iCs/>
                <w:color w:val="000000" w:themeColor="text1"/>
                <w:szCs w:val="22"/>
              </w:rPr>
              <w:t xml:space="preserve"> </w:t>
            </w:r>
            <w:proofErr w:type="spellStart"/>
            <w:r w:rsidRPr="00ED370B">
              <w:rPr>
                <w:rFonts w:eastAsia="Aptos"/>
                <w:i w:val="0"/>
                <w:iCs/>
                <w:color w:val="000000" w:themeColor="text1"/>
                <w:szCs w:val="22"/>
              </w:rPr>
              <w:t>Recovery</w:t>
            </w:r>
            <w:proofErr w:type="spellEnd"/>
            <w:r w:rsidRPr="00ED370B">
              <w:rPr>
                <w:rFonts w:eastAsia="Aptos"/>
                <w:i w:val="0"/>
                <w:iCs/>
                <w:color w:val="000000" w:themeColor="text1"/>
                <w:szCs w:val="22"/>
              </w:rPr>
              <w:t xml:space="preserve">) oraz scenariuszy awarii częściowej i degradacji usług. Warstwa kontenerowa będzie zarządzana przez orkiestrator z automatycznym rozkładaniem obciążeń i </w:t>
            </w:r>
            <w:proofErr w:type="spellStart"/>
            <w:r w:rsidRPr="00ED370B">
              <w:rPr>
                <w:rFonts w:eastAsia="Aptos"/>
                <w:i w:val="0"/>
                <w:iCs/>
                <w:color w:val="000000" w:themeColor="text1"/>
                <w:szCs w:val="22"/>
              </w:rPr>
              <w:t>samonaprawą</w:t>
            </w:r>
            <w:proofErr w:type="spellEnd"/>
            <w:r w:rsidRPr="00ED370B">
              <w:rPr>
                <w:rFonts w:eastAsia="Aptos"/>
                <w:i w:val="0"/>
                <w:iCs/>
                <w:color w:val="000000" w:themeColor="text1"/>
                <w:szCs w:val="22"/>
              </w:rPr>
              <w:t xml:space="preserve"> usług. Konfiguracja infrastruktury będzie utrzymywana jako kod (</w:t>
            </w:r>
            <w:proofErr w:type="spellStart"/>
            <w:r w:rsidRPr="00ED370B">
              <w:rPr>
                <w:rFonts w:eastAsia="Aptos"/>
                <w:i w:val="0"/>
                <w:iCs/>
                <w:color w:val="000000" w:themeColor="text1"/>
                <w:szCs w:val="22"/>
              </w:rPr>
              <w:t>IaC</w:t>
            </w:r>
            <w:proofErr w:type="spellEnd"/>
            <w:r w:rsidRPr="00ED370B">
              <w:rPr>
                <w:rFonts w:eastAsia="Aptos"/>
                <w:i w:val="0"/>
                <w:iCs/>
                <w:color w:val="000000" w:themeColor="text1"/>
                <w:szCs w:val="22"/>
              </w:rPr>
              <w:t>), co umożliwi powtarzalne odtwarzanie środowisk oraz kontrolę zmian.</w:t>
            </w:r>
          </w:p>
        </w:tc>
      </w:tr>
      <w:tr w:rsidR="00ED370B" w14:paraId="4DC1A8A7" w14:textId="77777777" w:rsidTr="00F418E6">
        <w:trPr>
          <w:trHeight w:val="2025"/>
        </w:trPr>
        <w:tc>
          <w:tcPr>
            <w:tcW w:w="2708" w:type="dxa"/>
            <w:tcBorders>
              <w:top w:val="single" w:sz="6" w:space="0" w:color="CCCCCC"/>
              <w:left w:val="single" w:sz="6" w:space="0" w:color="CCCCCC"/>
              <w:bottom w:val="single" w:sz="6" w:space="0" w:color="CCCCCC"/>
              <w:right w:val="single" w:sz="6" w:space="0" w:color="CCCCCC"/>
            </w:tcBorders>
          </w:tcPr>
          <w:p w14:paraId="3824AF37"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color w:val="000000" w:themeColor="text1"/>
                <w:sz w:val="22"/>
                <w:szCs w:val="22"/>
              </w:rPr>
              <w:t>Sieć i bezpieczeństwo </w:t>
            </w:r>
          </w:p>
        </w:tc>
        <w:tc>
          <w:tcPr>
            <w:tcW w:w="12862" w:type="dxa"/>
            <w:tcBorders>
              <w:top w:val="single" w:sz="6" w:space="0" w:color="CCCCCC"/>
              <w:left w:val="single" w:sz="6" w:space="0" w:color="CCCCCC"/>
              <w:bottom w:val="single" w:sz="6" w:space="0" w:color="CCCCCC"/>
              <w:right w:val="single" w:sz="6" w:space="0" w:color="CCCCCC"/>
            </w:tcBorders>
          </w:tcPr>
          <w:p w14:paraId="7262A786" w14:textId="77777777"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Całość komunikacji i przetwarzania danych będzie realizowana zgodnie z obowiązującymi standardami bezpieczeństwa, ochrony danych oraz regulacjami prawnymi. Architektura sieciowa będzie oparta na silnej segmentacji, separacji stref bezpieczeństwa oraz zasadzie minimalnych uprawnień (</w:t>
            </w:r>
            <w:proofErr w:type="spellStart"/>
            <w:r w:rsidRPr="00ED370B">
              <w:rPr>
                <w:rFonts w:eastAsia="Aptos"/>
                <w:i w:val="0"/>
                <w:iCs/>
                <w:color w:val="000000" w:themeColor="text1"/>
                <w:szCs w:val="22"/>
              </w:rPr>
              <w:t>least</w:t>
            </w:r>
            <w:proofErr w:type="spellEnd"/>
            <w:r w:rsidRPr="00ED370B">
              <w:rPr>
                <w:rFonts w:eastAsia="Aptos"/>
                <w:i w:val="0"/>
                <w:iCs/>
                <w:color w:val="000000" w:themeColor="text1"/>
                <w:szCs w:val="22"/>
              </w:rPr>
              <w:t xml:space="preserve"> </w:t>
            </w:r>
            <w:proofErr w:type="spellStart"/>
            <w:r w:rsidRPr="00ED370B">
              <w:rPr>
                <w:rFonts w:eastAsia="Aptos"/>
                <w:i w:val="0"/>
                <w:iCs/>
                <w:color w:val="000000" w:themeColor="text1"/>
                <w:szCs w:val="22"/>
              </w:rPr>
              <w:t>privilege</w:t>
            </w:r>
            <w:proofErr w:type="spellEnd"/>
            <w:r w:rsidRPr="00ED370B">
              <w:rPr>
                <w:rFonts w:eastAsia="Aptos"/>
                <w:i w:val="0"/>
                <w:iCs/>
                <w:color w:val="000000" w:themeColor="text1"/>
                <w:szCs w:val="22"/>
              </w:rPr>
              <w:t>).</w:t>
            </w:r>
            <w:r w:rsidRPr="00ED370B">
              <w:rPr>
                <w:i w:val="0"/>
                <w:iCs/>
              </w:rPr>
              <w:br/>
            </w:r>
            <w:r w:rsidRPr="00ED370B">
              <w:rPr>
                <w:rFonts w:eastAsia="Aptos"/>
                <w:i w:val="0"/>
                <w:iCs/>
                <w:color w:val="000000" w:themeColor="text1"/>
                <w:szCs w:val="22"/>
              </w:rPr>
              <w:t>Uwzględnione zostaną integracje z systemami zewnętrznymi o różnym poziomie dojrzałości technicznej, w tym systemami znajdującymi się poza strefami DMZ lub nieposiadającymi nowoczesnych mechanizmów uwierzytelniania. Projekt zakłada stosowanie mechanizmów kontroli ruchu, inspekcji, buforowania i izolowania komunikacji, tak aby ograniczyć ryzyko propagacji incydentów bezpieczeństwa pomiędzy strefami. Dane będą szyfrowane in-</w:t>
            </w:r>
            <w:proofErr w:type="spellStart"/>
            <w:r w:rsidRPr="00ED370B">
              <w:rPr>
                <w:rFonts w:eastAsia="Aptos"/>
                <w:i w:val="0"/>
                <w:iCs/>
                <w:color w:val="000000" w:themeColor="text1"/>
                <w:szCs w:val="22"/>
              </w:rPr>
              <w:t>rest</w:t>
            </w:r>
            <w:proofErr w:type="spellEnd"/>
            <w:r w:rsidRPr="00ED370B">
              <w:rPr>
                <w:rFonts w:eastAsia="Aptos"/>
                <w:i w:val="0"/>
                <w:iCs/>
                <w:color w:val="000000" w:themeColor="text1"/>
                <w:szCs w:val="22"/>
              </w:rPr>
              <w:t xml:space="preserve"> oraz in-transit. Model bezpieczeństwa będzie realizowany w podejściu Zero Trust, z centralnym </w:t>
            </w:r>
            <w:r w:rsidRPr="00ED370B">
              <w:rPr>
                <w:rFonts w:eastAsia="Aptos"/>
                <w:i w:val="0"/>
                <w:iCs/>
                <w:color w:val="000000" w:themeColor="text1"/>
                <w:szCs w:val="22"/>
              </w:rPr>
              <w:lastRenderedPageBreak/>
              <w:t>uwierzytelnianiem (SSO/MFA) i egzekwowaniem polityk dostępu w oparciu o role i kontekst. Zdarzenia bezpieczeństwa i logi będą konsolidowane w SIEM, a ruch krytyczny dodatkowo chroniony mechanizmami IDS/IPS oraz WAF dla interfejsów webowych i API.</w:t>
            </w:r>
          </w:p>
        </w:tc>
      </w:tr>
      <w:tr w:rsidR="00ED370B" w14:paraId="6801D60C" w14:textId="77777777" w:rsidTr="00F418E6">
        <w:trPr>
          <w:trHeight w:val="930"/>
        </w:trPr>
        <w:tc>
          <w:tcPr>
            <w:tcW w:w="2708" w:type="dxa"/>
            <w:tcBorders>
              <w:top w:val="single" w:sz="6" w:space="0" w:color="CCCCCC"/>
              <w:left w:val="single" w:sz="6" w:space="0" w:color="CCCCCC"/>
              <w:bottom w:val="single" w:sz="6" w:space="0" w:color="CCCCCC"/>
              <w:right w:val="single" w:sz="6" w:space="0" w:color="CCCCCC"/>
            </w:tcBorders>
          </w:tcPr>
          <w:p w14:paraId="196FFAF1"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color w:val="000000" w:themeColor="text1"/>
                <w:sz w:val="22"/>
                <w:szCs w:val="22"/>
              </w:rPr>
              <w:lastRenderedPageBreak/>
              <w:t>Standardy wymiany danych </w:t>
            </w:r>
          </w:p>
        </w:tc>
        <w:tc>
          <w:tcPr>
            <w:tcW w:w="12862" w:type="dxa"/>
            <w:tcBorders>
              <w:top w:val="single" w:sz="6" w:space="0" w:color="CCCCCC"/>
              <w:left w:val="single" w:sz="6" w:space="0" w:color="CCCCCC"/>
              <w:bottom w:val="single" w:sz="6" w:space="0" w:color="CCCCCC"/>
              <w:right w:val="single" w:sz="6" w:space="0" w:color="CCCCCC"/>
            </w:tcBorders>
          </w:tcPr>
          <w:p w14:paraId="77FAB515" w14:textId="77777777"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 xml:space="preserve">Integracje z systemami zewnętrznymi będą realizowane w oparciu o uznane standardy interoperacyjności (Krajowe Ramy Interoperacyjności) i formaty danych powszechnie stosowane w administracji publiczne oraz dostępne systemach integrowanych w ramach projektu. Wymiana danych będzie projektowana w sposób maksymalnie odporny na niespójności, opóźnienia oraz niejednoznaczność semantyczną po stronie systemów zewnętrznych. Architektura integracyjna zakłada możliwość adaptacji do systemów </w:t>
            </w:r>
            <w:proofErr w:type="spellStart"/>
            <w:r w:rsidRPr="00ED370B">
              <w:rPr>
                <w:rFonts w:eastAsia="Aptos"/>
                <w:i w:val="0"/>
                <w:iCs/>
                <w:color w:val="000000" w:themeColor="text1"/>
                <w:szCs w:val="22"/>
              </w:rPr>
              <w:t>legacy</w:t>
            </w:r>
            <w:proofErr w:type="spellEnd"/>
            <w:r w:rsidRPr="00ED370B">
              <w:rPr>
                <w:rFonts w:eastAsia="Aptos"/>
                <w:i w:val="0"/>
                <w:iCs/>
                <w:color w:val="000000" w:themeColor="text1"/>
                <w:szCs w:val="22"/>
              </w:rPr>
              <w:t>, systemów o niskiej jakości API lub opartych na nietypowych mechanizmach komunikacji.</w:t>
            </w:r>
            <w:r w:rsidRPr="00ED370B">
              <w:rPr>
                <w:i w:val="0"/>
                <w:iCs/>
              </w:rPr>
              <w:br/>
            </w:r>
            <w:r w:rsidRPr="00ED370B">
              <w:rPr>
                <w:rFonts w:eastAsia="Aptos"/>
                <w:i w:val="0"/>
                <w:iCs/>
                <w:color w:val="000000" w:themeColor="text1"/>
                <w:szCs w:val="22"/>
              </w:rPr>
              <w:t>Istotnym elementem będzie normalizacja danych, wersjonowanie interfejsów oraz jednoznaczne kontrakty integracyjne, minimalizujące wpływ zmian po stronie partnerów integracyjnych na stabilność systemu centralnego. Interfejsy integracyjne będą publikowane przez bramę API (API Gateway) z mechanizmami autoryzacji, limitowania (</w:t>
            </w:r>
            <w:proofErr w:type="spellStart"/>
            <w:r w:rsidRPr="00ED370B">
              <w:rPr>
                <w:rFonts w:eastAsia="Aptos"/>
                <w:i w:val="0"/>
                <w:iCs/>
                <w:color w:val="000000" w:themeColor="text1"/>
                <w:szCs w:val="22"/>
              </w:rPr>
              <w:t>rate</w:t>
            </w:r>
            <w:proofErr w:type="spellEnd"/>
            <w:r w:rsidRPr="00ED370B">
              <w:rPr>
                <w:rFonts w:eastAsia="Aptos"/>
                <w:i w:val="0"/>
                <w:iCs/>
                <w:color w:val="000000" w:themeColor="text1"/>
                <w:szCs w:val="22"/>
              </w:rPr>
              <w:t xml:space="preserve"> </w:t>
            </w:r>
            <w:proofErr w:type="spellStart"/>
            <w:r w:rsidRPr="00ED370B">
              <w:rPr>
                <w:rFonts w:eastAsia="Aptos"/>
                <w:i w:val="0"/>
                <w:iCs/>
                <w:color w:val="000000" w:themeColor="text1"/>
                <w:szCs w:val="22"/>
              </w:rPr>
              <w:t>limiting</w:t>
            </w:r>
            <w:proofErr w:type="spellEnd"/>
            <w:r w:rsidRPr="00ED370B">
              <w:rPr>
                <w:rFonts w:eastAsia="Aptos"/>
                <w:i w:val="0"/>
                <w:iCs/>
                <w:color w:val="000000" w:themeColor="text1"/>
                <w:szCs w:val="22"/>
              </w:rPr>
              <w:t xml:space="preserve">) i rejestrowania </w:t>
            </w:r>
            <w:proofErr w:type="spellStart"/>
            <w:r w:rsidRPr="00ED370B">
              <w:rPr>
                <w:rFonts w:eastAsia="Aptos"/>
                <w:i w:val="0"/>
                <w:iCs/>
                <w:color w:val="000000" w:themeColor="text1"/>
                <w:szCs w:val="22"/>
              </w:rPr>
              <w:t>wywołań</w:t>
            </w:r>
            <w:proofErr w:type="spellEnd"/>
            <w:r w:rsidRPr="00ED370B">
              <w:rPr>
                <w:rFonts w:eastAsia="Aptos"/>
                <w:i w:val="0"/>
                <w:iCs/>
                <w:color w:val="000000" w:themeColor="text1"/>
                <w:szCs w:val="22"/>
              </w:rPr>
              <w:t>. Dla integracji asynchronicznych przewiduje się kolejki lub broker wiadomości, a standardowe formaty wymiany będą obejmować m.in. JSON/REST oraz SOAP/XML tam, gdzie wymaga tego otoczenie.</w:t>
            </w:r>
          </w:p>
        </w:tc>
      </w:tr>
      <w:tr w:rsidR="00ED370B" w14:paraId="239C623C" w14:textId="77777777" w:rsidTr="00F418E6">
        <w:trPr>
          <w:trHeight w:val="1710"/>
        </w:trPr>
        <w:tc>
          <w:tcPr>
            <w:tcW w:w="2708" w:type="dxa"/>
            <w:tcBorders>
              <w:top w:val="single" w:sz="6" w:space="0" w:color="CCCCCC"/>
              <w:left w:val="single" w:sz="6" w:space="0" w:color="CCCCCC"/>
              <w:bottom w:val="single" w:sz="6" w:space="0" w:color="CCCCCC"/>
              <w:right w:val="single" w:sz="6" w:space="0" w:color="CCCCCC"/>
            </w:tcBorders>
          </w:tcPr>
          <w:p w14:paraId="297D6819"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color w:val="000000" w:themeColor="text1"/>
                <w:sz w:val="22"/>
                <w:szCs w:val="22"/>
              </w:rPr>
              <w:t>Systemy operacyjne serwerowe </w:t>
            </w:r>
          </w:p>
        </w:tc>
        <w:tc>
          <w:tcPr>
            <w:tcW w:w="12862" w:type="dxa"/>
            <w:tcBorders>
              <w:top w:val="single" w:sz="6" w:space="0" w:color="CCCCCC"/>
              <w:left w:val="single" w:sz="6" w:space="0" w:color="CCCCCC"/>
              <w:bottom w:val="single" w:sz="6" w:space="0" w:color="CCCCCC"/>
              <w:right w:val="single" w:sz="6" w:space="0" w:color="CCCCCC"/>
            </w:tcBorders>
          </w:tcPr>
          <w:p w14:paraId="4B0F4379" w14:textId="77777777"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Środowiska serwerowe będą oparte na stabilnych i długoterminowo wspieranych (LTS) platformach systemowych klasy produkcyjnej z rodziny Linux zapewniających możliwość spełnienia wymagań audytowych i certyfikacyjnych. Projekt uwzględnia zarządzanie cyklem życia systemów operacyjnych, w tym polityki aktualizacji, testów bezpieczeństwa oraz zgodności z obowiązującymi regulacjami.</w:t>
            </w:r>
            <w:r w:rsidRPr="00ED370B">
              <w:rPr>
                <w:i w:val="0"/>
                <w:iCs/>
              </w:rPr>
              <w:br/>
            </w:r>
            <w:r w:rsidRPr="00ED370B">
              <w:rPr>
                <w:rFonts w:eastAsia="Aptos"/>
                <w:i w:val="0"/>
                <w:iCs/>
                <w:color w:val="000000" w:themeColor="text1"/>
                <w:szCs w:val="22"/>
              </w:rPr>
              <w:t xml:space="preserve">Środowisko systemowe będzie przygotowane do automatyzacji zarządzania, monitorowania stanu oraz szybkiego odtwarzania w przypadku awarii. Obrazy systemowe będą ustandaryzowane i utwardzone zgodnie z uznanymi benchmarkami (np. CIS), a konfiguracja zarządzana centralnie narzędziami automatyzacji. Aktualizacje będą wdrażane w kontrolowanych oknach serwisowych z wykorzystaniem środowisk testowych oraz mechanizmów </w:t>
            </w:r>
            <w:proofErr w:type="spellStart"/>
            <w:r w:rsidRPr="00ED370B">
              <w:rPr>
                <w:rFonts w:eastAsia="Aptos"/>
                <w:i w:val="0"/>
                <w:iCs/>
                <w:color w:val="000000" w:themeColor="text1"/>
                <w:szCs w:val="22"/>
              </w:rPr>
              <w:t>rollback</w:t>
            </w:r>
            <w:proofErr w:type="spellEnd"/>
            <w:r w:rsidRPr="00ED370B">
              <w:rPr>
                <w:rFonts w:eastAsia="Aptos"/>
                <w:i w:val="0"/>
                <w:iCs/>
                <w:color w:val="000000" w:themeColor="text1"/>
                <w:szCs w:val="22"/>
              </w:rPr>
              <w:t>, aby ograniczyć ryzyko przestojów.</w:t>
            </w:r>
          </w:p>
        </w:tc>
      </w:tr>
      <w:tr w:rsidR="00ED370B" w14:paraId="1E76C35B" w14:textId="77777777" w:rsidTr="00F418E6">
        <w:trPr>
          <w:trHeight w:val="1440"/>
        </w:trPr>
        <w:tc>
          <w:tcPr>
            <w:tcW w:w="2708" w:type="dxa"/>
            <w:tcBorders>
              <w:top w:val="single" w:sz="6" w:space="0" w:color="CCCCCC"/>
              <w:left w:val="single" w:sz="6" w:space="0" w:color="CCCCCC"/>
              <w:bottom w:val="single" w:sz="6" w:space="0" w:color="CCCCCC"/>
              <w:right w:val="single" w:sz="6" w:space="0" w:color="CCCCCC"/>
            </w:tcBorders>
          </w:tcPr>
          <w:p w14:paraId="41715324"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color w:val="000000" w:themeColor="text1"/>
                <w:sz w:val="22"/>
                <w:szCs w:val="22"/>
              </w:rPr>
              <w:t>Bazy danych </w:t>
            </w:r>
          </w:p>
        </w:tc>
        <w:tc>
          <w:tcPr>
            <w:tcW w:w="12862" w:type="dxa"/>
            <w:tcBorders>
              <w:top w:val="single" w:sz="6" w:space="0" w:color="CCCCCC"/>
              <w:left w:val="single" w:sz="6" w:space="0" w:color="CCCCCC"/>
              <w:bottom w:val="single" w:sz="6" w:space="0" w:color="CCCCCC"/>
              <w:right w:val="single" w:sz="6" w:space="0" w:color="CCCCCC"/>
            </w:tcBorders>
          </w:tcPr>
          <w:p w14:paraId="338F6086" w14:textId="77777777"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Architektura bazodanowa będzie projektowana z uwzględnieniem różnorodności danych (transakcyjne, referencyjne, audytowe, historyczne) oraz ich krytyczności. Szczególny nacisk zostanie położony na integralność danych, odporność na błędy logiczne oraz możliwość odtworzenia stanu systemu na określony moment w czasie.</w:t>
            </w:r>
            <w:r w:rsidRPr="00ED370B">
              <w:rPr>
                <w:i w:val="0"/>
                <w:iCs/>
              </w:rPr>
              <w:br/>
            </w:r>
            <w:r w:rsidRPr="00ED370B">
              <w:rPr>
                <w:rFonts w:eastAsia="Aptos"/>
                <w:i w:val="0"/>
                <w:iCs/>
                <w:color w:val="000000" w:themeColor="text1"/>
                <w:szCs w:val="22"/>
              </w:rPr>
              <w:t xml:space="preserve">Dla kluczowych baz przewiduje się wysoką dostępność (replikacja/klaster) oraz kopie zapasowe umożliwiające odtworzenie do punktu w czasie (PITR) zgodnie z wymaganiami RPO/RTO. Warstwa bazodanowa będzie objęta audytem dostępu, szyfrowaniem oraz monitoringiem </w:t>
            </w:r>
            <w:r w:rsidRPr="00ED370B">
              <w:rPr>
                <w:rFonts w:eastAsia="Aptos"/>
                <w:i w:val="0"/>
                <w:iCs/>
                <w:color w:val="000000" w:themeColor="text1"/>
                <w:szCs w:val="22"/>
              </w:rPr>
              <w:lastRenderedPageBreak/>
              <w:t xml:space="preserve">wydajności, w tym procedurami okresowej optymalizacji i archiwizacji danych. W miarę możliwości stosowane będą bazy danych </w:t>
            </w:r>
            <w:proofErr w:type="spellStart"/>
            <w:r w:rsidRPr="00ED370B">
              <w:rPr>
                <w:rFonts w:eastAsia="Aptos"/>
                <w:i w:val="0"/>
                <w:iCs/>
                <w:color w:val="000000" w:themeColor="text1"/>
                <w:szCs w:val="22"/>
              </w:rPr>
              <w:t>otwartoźródłowe</w:t>
            </w:r>
            <w:proofErr w:type="spellEnd"/>
            <w:r w:rsidRPr="00ED370B">
              <w:rPr>
                <w:rFonts w:eastAsia="Aptos"/>
                <w:i w:val="0"/>
                <w:iCs/>
                <w:color w:val="000000" w:themeColor="text1"/>
                <w:szCs w:val="22"/>
              </w:rPr>
              <w:t>.</w:t>
            </w:r>
          </w:p>
        </w:tc>
      </w:tr>
      <w:tr w:rsidR="00ED370B" w14:paraId="480B7DFC" w14:textId="77777777" w:rsidTr="00F418E6">
        <w:trPr>
          <w:trHeight w:val="1335"/>
        </w:trPr>
        <w:tc>
          <w:tcPr>
            <w:tcW w:w="2708" w:type="dxa"/>
            <w:tcBorders>
              <w:top w:val="single" w:sz="6" w:space="0" w:color="CCCCCC"/>
              <w:left w:val="single" w:sz="6" w:space="0" w:color="CCCCCC"/>
              <w:bottom w:val="single" w:sz="6" w:space="0" w:color="CCCCCC"/>
              <w:right w:val="single" w:sz="6" w:space="0" w:color="CCCCCC"/>
            </w:tcBorders>
          </w:tcPr>
          <w:p w14:paraId="4D314942" w14:textId="77777777" w:rsidR="00ED370B" w:rsidRPr="00ED370B" w:rsidRDefault="00ED370B" w:rsidP="00696759">
            <w:pPr>
              <w:pStyle w:val="paragraph"/>
              <w:rPr>
                <w:rFonts w:ascii="Calibri" w:eastAsia="Aptos" w:hAnsi="Calibri" w:cs="Calibri"/>
                <w:color w:val="000000" w:themeColor="text1"/>
                <w:sz w:val="22"/>
                <w:szCs w:val="22"/>
              </w:rPr>
            </w:pPr>
            <w:r w:rsidRPr="00ED370B">
              <w:rPr>
                <w:rFonts w:ascii="Calibri" w:eastAsia="Aptos" w:hAnsi="Calibri" w:cs="Calibri"/>
                <w:color w:val="000000" w:themeColor="text1"/>
                <w:sz w:val="22"/>
                <w:szCs w:val="22"/>
              </w:rPr>
              <w:lastRenderedPageBreak/>
              <w:t>Serwery aplikacji </w:t>
            </w:r>
          </w:p>
        </w:tc>
        <w:tc>
          <w:tcPr>
            <w:tcW w:w="12862" w:type="dxa"/>
            <w:tcBorders>
              <w:top w:val="single" w:sz="6" w:space="0" w:color="CCCCCC"/>
              <w:left w:val="single" w:sz="6" w:space="0" w:color="CCCCCC"/>
              <w:bottom w:val="single" w:sz="6" w:space="0" w:color="CCCCCC"/>
              <w:right w:val="single" w:sz="6" w:space="0" w:color="CCCCCC"/>
            </w:tcBorders>
          </w:tcPr>
          <w:p w14:paraId="76D44296" w14:textId="77777777"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 xml:space="preserve">Warstwa aplikacyjna będzie oparta na architekturze umożliwiającej niezależny rozwój i wdrażanie poszczególnych komponentów (konteneryzacja, </w:t>
            </w:r>
            <w:proofErr w:type="spellStart"/>
            <w:r w:rsidRPr="00ED370B">
              <w:rPr>
                <w:rFonts w:eastAsia="Aptos"/>
                <w:i w:val="0"/>
                <w:iCs/>
                <w:color w:val="000000" w:themeColor="text1"/>
                <w:szCs w:val="22"/>
              </w:rPr>
              <w:t>mikroserwisy</w:t>
            </w:r>
            <w:proofErr w:type="spellEnd"/>
            <w:r w:rsidRPr="00ED370B">
              <w:rPr>
                <w:rFonts w:eastAsia="Aptos"/>
                <w:i w:val="0"/>
                <w:iCs/>
                <w:color w:val="000000" w:themeColor="text1"/>
                <w:szCs w:val="22"/>
              </w:rPr>
              <w:t>, szyna integracyjna), przy zachowaniu spójności całego ekosystemu. Projekt zakłada odporność na częściowe niedostępności komponentów oraz możliwość stopniowej degradacji funkcjonalności zamiast całkowitego zatrzymania systemu.</w:t>
            </w:r>
            <w:r w:rsidRPr="00ED370B">
              <w:rPr>
                <w:i w:val="0"/>
                <w:iCs/>
              </w:rPr>
              <w:br/>
            </w:r>
            <w:r w:rsidRPr="00ED370B">
              <w:rPr>
                <w:rFonts w:eastAsia="Aptos"/>
                <w:i w:val="0"/>
                <w:iCs/>
                <w:color w:val="000000" w:themeColor="text1"/>
                <w:szCs w:val="22"/>
              </w:rPr>
              <w:t>Istotnym elementem będzie obserwowalność systemu – możliwość monitorowania stanu aplikacji, przepływu danych oraz identyfikacji problemów w czasie rzeczywistym. Wdrażanie będzie realizowane w modelu CI/CD z automatycznymi testami i strategią bezprzerwowych wdrożeń (</w:t>
            </w:r>
            <w:proofErr w:type="spellStart"/>
            <w:r w:rsidRPr="00ED370B">
              <w:rPr>
                <w:rFonts w:eastAsia="Aptos"/>
                <w:i w:val="0"/>
                <w:iCs/>
                <w:color w:val="000000" w:themeColor="text1"/>
                <w:szCs w:val="22"/>
              </w:rPr>
              <w:t>blue-green</w:t>
            </w:r>
            <w:proofErr w:type="spellEnd"/>
            <w:r w:rsidRPr="00ED370B">
              <w:rPr>
                <w:rFonts w:eastAsia="Aptos"/>
                <w:i w:val="0"/>
                <w:iCs/>
                <w:color w:val="000000" w:themeColor="text1"/>
                <w:szCs w:val="22"/>
              </w:rPr>
              <w:t>/</w:t>
            </w:r>
            <w:proofErr w:type="spellStart"/>
            <w:r w:rsidRPr="00ED370B">
              <w:rPr>
                <w:rFonts w:eastAsia="Aptos"/>
                <w:i w:val="0"/>
                <w:iCs/>
                <w:color w:val="000000" w:themeColor="text1"/>
                <w:szCs w:val="22"/>
              </w:rPr>
              <w:t>canary</w:t>
            </w:r>
            <w:proofErr w:type="spellEnd"/>
            <w:r w:rsidRPr="00ED370B">
              <w:rPr>
                <w:rFonts w:eastAsia="Aptos"/>
                <w:i w:val="0"/>
                <w:iCs/>
                <w:color w:val="000000" w:themeColor="text1"/>
                <w:szCs w:val="22"/>
              </w:rPr>
              <w:t xml:space="preserve">) tam, gdzie jest to uzasadnione. Każdy komponent będzie posiadał jasno zdefiniowane limity zasobów, polityki </w:t>
            </w:r>
            <w:proofErr w:type="spellStart"/>
            <w:r w:rsidRPr="00ED370B">
              <w:rPr>
                <w:rFonts w:eastAsia="Aptos"/>
                <w:i w:val="0"/>
                <w:iCs/>
                <w:color w:val="000000" w:themeColor="text1"/>
                <w:szCs w:val="22"/>
              </w:rPr>
              <w:t>autoskalowania</w:t>
            </w:r>
            <w:proofErr w:type="spellEnd"/>
            <w:r w:rsidRPr="00ED370B">
              <w:rPr>
                <w:rFonts w:eastAsia="Aptos"/>
                <w:i w:val="0"/>
                <w:iCs/>
                <w:color w:val="000000" w:themeColor="text1"/>
                <w:szCs w:val="22"/>
              </w:rPr>
              <w:t xml:space="preserve"> oraz mechanizmy </w:t>
            </w:r>
            <w:proofErr w:type="spellStart"/>
            <w:r w:rsidRPr="00ED370B">
              <w:rPr>
                <w:rFonts w:eastAsia="Aptos"/>
                <w:i w:val="0"/>
                <w:iCs/>
                <w:color w:val="000000" w:themeColor="text1"/>
                <w:szCs w:val="22"/>
              </w:rPr>
              <w:t>circuit</w:t>
            </w:r>
            <w:proofErr w:type="spellEnd"/>
            <w:r w:rsidRPr="00ED370B">
              <w:rPr>
                <w:rFonts w:eastAsia="Aptos"/>
                <w:i w:val="0"/>
                <w:iCs/>
                <w:color w:val="000000" w:themeColor="text1"/>
                <w:szCs w:val="22"/>
              </w:rPr>
              <w:t xml:space="preserve"> </w:t>
            </w:r>
            <w:proofErr w:type="spellStart"/>
            <w:r w:rsidRPr="00ED370B">
              <w:rPr>
                <w:rFonts w:eastAsia="Aptos"/>
                <w:i w:val="0"/>
                <w:iCs/>
                <w:color w:val="000000" w:themeColor="text1"/>
                <w:szCs w:val="22"/>
              </w:rPr>
              <w:t>breaker</w:t>
            </w:r>
            <w:proofErr w:type="spellEnd"/>
            <w:r w:rsidRPr="00ED370B">
              <w:rPr>
                <w:rFonts w:eastAsia="Aptos"/>
                <w:i w:val="0"/>
                <w:iCs/>
                <w:color w:val="000000" w:themeColor="text1"/>
                <w:szCs w:val="22"/>
              </w:rPr>
              <w:t>/</w:t>
            </w:r>
            <w:proofErr w:type="spellStart"/>
            <w:r w:rsidRPr="00ED370B">
              <w:rPr>
                <w:rFonts w:eastAsia="Aptos"/>
                <w:i w:val="0"/>
                <w:iCs/>
                <w:color w:val="000000" w:themeColor="text1"/>
                <w:szCs w:val="22"/>
              </w:rPr>
              <w:t>retry</w:t>
            </w:r>
            <w:proofErr w:type="spellEnd"/>
            <w:r w:rsidRPr="00ED370B">
              <w:rPr>
                <w:rFonts w:eastAsia="Aptos"/>
                <w:i w:val="0"/>
                <w:iCs/>
                <w:color w:val="000000" w:themeColor="text1"/>
                <w:szCs w:val="22"/>
              </w:rPr>
              <w:t xml:space="preserve"> dla połączeń zależnych.</w:t>
            </w:r>
          </w:p>
        </w:tc>
      </w:tr>
      <w:tr w:rsidR="00ED370B" w14:paraId="3F84D643" w14:textId="77777777" w:rsidTr="00F418E6">
        <w:trPr>
          <w:trHeight w:val="1650"/>
        </w:trPr>
        <w:tc>
          <w:tcPr>
            <w:tcW w:w="2708" w:type="dxa"/>
            <w:tcBorders>
              <w:top w:val="single" w:sz="6" w:space="0" w:color="CCCCCC"/>
              <w:left w:val="single" w:sz="6" w:space="0" w:color="CCCCCC"/>
              <w:bottom w:val="single" w:sz="6" w:space="0" w:color="CCCCCC"/>
              <w:right w:val="single" w:sz="6" w:space="0" w:color="CCCCCC"/>
            </w:tcBorders>
          </w:tcPr>
          <w:p w14:paraId="7BED125F" w14:textId="77777777" w:rsidR="00ED370B" w:rsidRPr="00B90D33" w:rsidRDefault="00ED370B" w:rsidP="00696759">
            <w:pPr>
              <w:pStyle w:val="paragraph"/>
              <w:rPr>
                <w:rFonts w:ascii="Calibri" w:eastAsia="Aptos" w:hAnsi="Calibri" w:cs="Calibri"/>
                <w:color w:val="000000" w:themeColor="text1"/>
                <w:sz w:val="22"/>
                <w:szCs w:val="22"/>
              </w:rPr>
            </w:pPr>
            <w:r w:rsidRPr="00B90D33">
              <w:rPr>
                <w:rFonts w:ascii="Calibri" w:eastAsia="Aptos" w:hAnsi="Calibri" w:cs="Calibri"/>
                <w:color w:val="000000" w:themeColor="text1"/>
                <w:sz w:val="22"/>
                <w:szCs w:val="22"/>
              </w:rPr>
              <w:t>Portale </w:t>
            </w:r>
          </w:p>
        </w:tc>
        <w:tc>
          <w:tcPr>
            <w:tcW w:w="12862" w:type="dxa"/>
            <w:tcBorders>
              <w:top w:val="single" w:sz="6" w:space="0" w:color="CCCCCC"/>
              <w:left w:val="single" w:sz="6" w:space="0" w:color="CCCCCC"/>
              <w:bottom w:val="single" w:sz="6" w:space="0" w:color="CCCCCC"/>
              <w:right w:val="single" w:sz="6" w:space="0" w:color="CCCCCC"/>
            </w:tcBorders>
          </w:tcPr>
          <w:p w14:paraId="50E6C0F2" w14:textId="77777777"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Portale użytkownika będą projektowane z myślą o różnych grupach odbiorców – zarówno użytkownikach końcowych, jak i administratorach czy operatorach systemu. Szczególny nacisk zostanie położony na dostępność, ergonomię oraz odporność na błędy użytkownika.</w:t>
            </w:r>
            <w:r w:rsidRPr="00ED370B">
              <w:rPr>
                <w:i w:val="0"/>
                <w:iCs/>
              </w:rPr>
              <w:br/>
            </w:r>
            <w:r w:rsidRPr="00ED370B">
              <w:rPr>
                <w:rFonts w:eastAsia="Aptos"/>
                <w:i w:val="0"/>
                <w:iCs/>
                <w:color w:val="000000" w:themeColor="text1"/>
                <w:szCs w:val="22"/>
              </w:rPr>
              <w:t>Rozwiązanie będzie uwzględniało konieczność pracy w środowiskach o ograniczonej przepustowości, czasowych przerwach w dostępności usług (PWA) oraz potrzebę zachowania spójnego doświadczenia użytkownika nawet w warunkach obniżonej dostępności części systemu. Portale będą wspierały jednokrotne logowanie (SSO) i federację tożsamości, z rozdzieleniem uprawnień użytkownika i administratora na poziomie aplikacji. Interfejsy będą responsywne i zgodne z WCAG 2.1 AA, a dla funkcji krytycznych przewiduje się tryb ograniczonej funkcjonalności offline z synchronizacją po odzyskaniu łączności.</w:t>
            </w:r>
          </w:p>
        </w:tc>
      </w:tr>
      <w:tr w:rsidR="00ED370B" w:rsidRPr="00ED370B" w14:paraId="69480417" w14:textId="77777777" w:rsidTr="00F418E6">
        <w:trPr>
          <w:trHeight w:val="1485"/>
        </w:trPr>
        <w:tc>
          <w:tcPr>
            <w:tcW w:w="2708" w:type="dxa"/>
            <w:tcBorders>
              <w:top w:val="single" w:sz="6" w:space="0" w:color="CCCCCC"/>
              <w:left w:val="single" w:sz="6" w:space="0" w:color="CCCCCC"/>
              <w:bottom w:val="single" w:sz="6" w:space="0" w:color="CCCCCC"/>
              <w:right w:val="single" w:sz="6" w:space="0" w:color="CCCCCC"/>
            </w:tcBorders>
          </w:tcPr>
          <w:p w14:paraId="661C93B7" w14:textId="77777777" w:rsidR="00ED370B" w:rsidRPr="00B90D33" w:rsidRDefault="00ED370B" w:rsidP="00696759">
            <w:pPr>
              <w:pStyle w:val="paragraph"/>
              <w:rPr>
                <w:rFonts w:ascii="Calibri" w:eastAsia="Aptos" w:hAnsi="Calibri" w:cs="Calibri"/>
                <w:color w:val="000000" w:themeColor="text1"/>
                <w:sz w:val="22"/>
                <w:szCs w:val="22"/>
              </w:rPr>
            </w:pPr>
            <w:r w:rsidRPr="00B90D33">
              <w:rPr>
                <w:rFonts w:ascii="Calibri" w:eastAsia="Aptos" w:hAnsi="Calibri" w:cs="Calibri"/>
                <w:color w:val="000000" w:themeColor="text1"/>
                <w:sz w:val="22"/>
                <w:szCs w:val="22"/>
              </w:rPr>
              <w:t>Inne </w:t>
            </w:r>
          </w:p>
        </w:tc>
        <w:tc>
          <w:tcPr>
            <w:tcW w:w="12862" w:type="dxa"/>
            <w:tcBorders>
              <w:top w:val="single" w:sz="6" w:space="0" w:color="CCCCCC"/>
              <w:left w:val="single" w:sz="6" w:space="0" w:color="CCCCCC"/>
              <w:bottom w:val="single" w:sz="6" w:space="0" w:color="CCCCCC"/>
              <w:right w:val="single" w:sz="6" w:space="0" w:color="CCCCCC"/>
            </w:tcBorders>
          </w:tcPr>
          <w:p w14:paraId="715BC957" w14:textId="77777777" w:rsidR="00ED370B" w:rsidRPr="00ED370B" w:rsidRDefault="00ED370B" w:rsidP="00ED370B">
            <w:pPr>
              <w:jc w:val="left"/>
              <w:rPr>
                <w:rFonts w:eastAsia="Aptos"/>
                <w:i w:val="0"/>
                <w:iCs/>
                <w:color w:val="000000" w:themeColor="text1"/>
                <w:szCs w:val="22"/>
              </w:rPr>
            </w:pPr>
            <w:r w:rsidRPr="00ED370B">
              <w:rPr>
                <w:rFonts w:eastAsia="Aptos"/>
                <w:i w:val="0"/>
                <w:iCs/>
                <w:color w:val="000000" w:themeColor="text1"/>
                <w:szCs w:val="22"/>
              </w:rPr>
              <w:t>Całość rozwiązania będzie projektowana w oparciu o podejście długofalowe, uwzględniające nie tylko aktualne wymagania, ale również przyszły rozwój systemu, zmiany regulacyjne oraz ewolucję otoczenia technologicznego. Architektura umożliwi stopniową modernizację, wymianę komponentów oraz integrację z nowymi systemami bez konieczności przebudowy całości.</w:t>
            </w:r>
            <w:r w:rsidRPr="00ED370B">
              <w:rPr>
                <w:i w:val="0"/>
                <w:iCs/>
              </w:rPr>
              <w:br/>
            </w:r>
            <w:r w:rsidRPr="00ED370B">
              <w:rPr>
                <w:rFonts w:eastAsia="Aptos"/>
                <w:i w:val="0"/>
                <w:iCs/>
                <w:color w:val="000000" w:themeColor="text1"/>
                <w:szCs w:val="22"/>
              </w:rPr>
              <w:t xml:space="preserve">Projekt uwzględnia konieczność transparentności, </w:t>
            </w:r>
            <w:proofErr w:type="spellStart"/>
            <w:r w:rsidRPr="00ED370B">
              <w:rPr>
                <w:rFonts w:eastAsia="Aptos"/>
                <w:i w:val="0"/>
                <w:iCs/>
                <w:color w:val="000000" w:themeColor="text1"/>
                <w:szCs w:val="22"/>
              </w:rPr>
              <w:t>audytowalności</w:t>
            </w:r>
            <w:proofErr w:type="spellEnd"/>
            <w:r w:rsidRPr="00ED370B">
              <w:rPr>
                <w:rFonts w:eastAsia="Aptos"/>
                <w:i w:val="0"/>
                <w:iCs/>
                <w:color w:val="000000" w:themeColor="text1"/>
                <w:szCs w:val="22"/>
              </w:rPr>
              <w:t>, jednoznacznej odpowiedzialności komponentów oraz możliwości pracy w warunkach podwyższonego ryzyka operacyjnego. Dokumentacja architektury i decyzji projektowych (ADR) będzie prowadzona na bieżąco, a standardy kodowania i bezpieczeństwa będą egzekwowane w procesie wytwórczym (</w:t>
            </w:r>
            <w:proofErr w:type="spellStart"/>
            <w:r w:rsidRPr="00ED370B">
              <w:rPr>
                <w:rFonts w:eastAsia="Aptos"/>
                <w:i w:val="0"/>
                <w:iCs/>
                <w:color w:val="000000" w:themeColor="text1"/>
                <w:szCs w:val="22"/>
              </w:rPr>
              <w:t>DevSecOps</w:t>
            </w:r>
            <w:proofErr w:type="spellEnd"/>
            <w:r w:rsidRPr="00ED370B">
              <w:rPr>
                <w:rFonts w:eastAsia="Aptos"/>
                <w:i w:val="0"/>
                <w:iCs/>
                <w:color w:val="000000" w:themeColor="text1"/>
                <w:szCs w:val="22"/>
              </w:rPr>
              <w:t>). Założenia obejmują również zarządzanie kosztami i pojemnością (</w:t>
            </w:r>
            <w:proofErr w:type="spellStart"/>
            <w:r w:rsidRPr="00ED370B">
              <w:rPr>
                <w:rFonts w:eastAsia="Aptos"/>
                <w:i w:val="0"/>
                <w:iCs/>
                <w:color w:val="000000" w:themeColor="text1"/>
                <w:szCs w:val="22"/>
              </w:rPr>
              <w:t>FinOps</w:t>
            </w:r>
            <w:proofErr w:type="spellEnd"/>
            <w:r w:rsidRPr="00ED370B">
              <w:rPr>
                <w:rFonts w:eastAsia="Aptos"/>
                <w:i w:val="0"/>
                <w:iCs/>
                <w:color w:val="000000" w:themeColor="text1"/>
                <w:szCs w:val="22"/>
              </w:rPr>
              <w:t>/</w:t>
            </w:r>
            <w:proofErr w:type="spellStart"/>
            <w:r w:rsidRPr="00ED370B">
              <w:rPr>
                <w:rFonts w:eastAsia="Aptos"/>
                <w:i w:val="0"/>
                <w:iCs/>
                <w:color w:val="000000" w:themeColor="text1"/>
                <w:szCs w:val="22"/>
              </w:rPr>
              <w:t>Capacity</w:t>
            </w:r>
            <w:proofErr w:type="spellEnd"/>
            <w:r w:rsidRPr="00ED370B">
              <w:rPr>
                <w:rFonts w:eastAsia="Aptos"/>
                <w:i w:val="0"/>
                <w:iCs/>
                <w:color w:val="000000" w:themeColor="text1"/>
                <w:szCs w:val="22"/>
              </w:rPr>
              <w:t xml:space="preserve"> Management) oraz regularne przeglądy techniczne w celu utrzymania zgodności i aktualności komponentów.</w:t>
            </w:r>
          </w:p>
        </w:tc>
      </w:tr>
    </w:tbl>
    <w:p w14:paraId="0F8F5345" w14:textId="63AB10E1" w:rsidR="00ED370B" w:rsidRDefault="00ED370B" w:rsidP="00B90D33">
      <w:pPr>
        <w:jc w:val="left"/>
      </w:pPr>
    </w:p>
    <w:sectPr w:rsidR="00ED370B">
      <w:footerReference w:type="default" r:id="rId11"/>
      <w:pgSz w:w="16838" w:h="11906" w:orient="landscape"/>
      <w:pgMar w:top="1440" w:right="1415" w:bottom="1440"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B60DF" w14:textId="77777777" w:rsidR="00DE6D28" w:rsidRDefault="00DE6D28" w:rsidP="007267A9">
      <w:pPr>
        <w:spacing w:line="240" w:lineRule="auto"/>
      </w:pPr>
      <w:r>
        <w:separator/>
      </w:r>
    </w:p>
  </w:endnote>
  <w:endnote w:type="continuationSeparator" w:id="0">
    <w:p w14:paraId="2E931DCD" w14:textId="77777777" w:rsidR="00DE6D28" w:rsidRDefault="00DE6D28" w:rsidP="007267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4413753"/>
      <w:docPartObj>
        <w:docPartGallery w:val="Page Numbers (Bottom of Page)"/>
        <w:docPartUnique/>
      </w:docPartObj>
    </w:sdtPr>
    <w:sdtContent>
      <w:sdt>
        <w:sdtPr>
          <w:id w:val="-1705238520"/>
          <w:docPartObj>
            <w:docPartGallery w:val="Page Numbers (Top of Page)"/>
            <w:docPartUnique/>
          </w:docPartObj>
        </w:sdtPr>
        <w:sdtContent>
          <w:p w14:paraId="53D5DFE9" w14:textId="1F4B92BF" w:rsidR="007267A9" w:rsidRDefault="007267A9">
            <w:pPr>
              <w:pStyle w:val="Stopka"/>
            </w:pPr>
            <w:r w:rsidRPr="007267A9">
              <w:rPr>
                <w:i w:val="0"/>
                <w:iCs/>
              </w:rPr>
              <w:t xml:space="preserve">Strona </w:t>
            </w:r>
            <w:r w:rsidRPr="007267A9">
              <w:rPr>
                <w:b/>
                <w:bCs/>
                <w:i w:val="0"/>
                <w:iCs/>
                <w:sz w:val="24"/>
              </w:rPr>
              <w:fldChar w:fldCharType="begin"/>
            </w:r>
            <w:r w:rsidRPr="007267A9">
              <w:rPr>
                <w:b/>
                <w:bCs/>
                <w:i w:val="0"/>
                <w:iCs/>
              </w:rPr>
              <w:instrText>PAGE</w:instrText>
            </w:r>
            <w:r w:rsidRPr="007267A9">
              <w:rPr>
                <w:b/>
                <w:bCs/>
                <w:i w:val="0"/>
                <w:iCs/>
                <w:sz w:val="24"/>
              </w:rPr>
              <w:fldChar w:fldCharType="separate"/>
            </w:r>
            <w:r w:rsidRPr="007267A9">
              <w:rPr>
                <w:b/>
                <w:bCs/>
                <w:i w:val="0"/>
                <w:iCs/>
              </w:rPr>
              <w:t>2</w:t>
            </w:r>
            <w:r w:rsidRPr="007267A9">
              <w:rPr>
                <w:b/>
                <w:bCs/>
                <w:i w:val="0"/>
                <w:iCs/>
                <w:sz w:val="24"/>
              </w:rPr>
              <w:fldChar w:fldCharType="end"/>
            </w:r>
            <w:r w:rsidRPr="007267A9">
              <w:rPr>
                <w:i w:val="0"/>
                <w:iCs/>
              </w:rPr>
              <w:t xml:space="preserve"> z </w:t>
            </w:r>
            <w:r w:rsidRPr="007267A9">
              <w:rPr>
                <w:b/>
                <w:bCs/>
                <w:i w:val="0"/>
                <w:iCs/>
                <w:sz w:val="24"/>
              </w:rPr>
              <w:fldChar w:fldCharType="begin"/>
            </w:r>
            <w:r w:rsidRPr="007267A9">
              <w:rPr>
                <w:b/>
                <w:bCs/>
                <w:i w:val="0"/>
                <w:iCs/>
              </w:rPr>
              <w:instrText>NUMPAGES</w:instrText>
            </w:r>
            <w:r w:rsidRPr="007267A9">
              <w:rPr>
                <w:b/>
                <w:bCs/>
                <w:i w:val="0"/>
                <w:iCs/>
                <w:sz w:val="24"/>
              </w:rPr>
              <w:fldChar w:fldCharType="separate"/>
            </w:r>
            <w:r w:rsidRPr="007267A9">
              <w:rPr>
                <w:b/>
                <w:bCs/>
                <w:i w:val="0"/>
                <w:iCs/>
              </w:rPr>
              <w:t>2</w:t>
            </w:r>
            <w:r w:rsidRPr="007267A9">
              <w:rPr>
                <w:b/>
                <w:bCs/>
                <w:i w:val="0"/>
                <w:iCs/>
                <w:sz w:val="24"/>
              </w:rPr>
              <w:fldChar w:fldCharType="end"/>
            </w:r>
          </w:p>
        </w:sdtContent>
      </w:sdt>
    </w:sdtContent>
  </w:sdt>
  <w:p w14:paraId="5082F782" w14:textId="77777777" w:rsidR="007267A9" w:rsidRDefault="007267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97366" w14:textId="77777777" w:rsidR="00DE6D28" w:rsidRDefault="00DE6D28" w:rsidP="007267A9">
      <w:pPr>
        <w:spacing w:line="240" w:lineRule="auto"/>
      </w:pPr>
      <w:r>
        <w:separator/>
      </w:r>
    </w:p>
  </w:footnote>
  <w:footnote w:type="continuationSeparator" w:id="0">
    <w:p w14:paraId="0C72ABEF" w14:textId="77777777" w:rsidR="00DE6D28" w:rsidRDefault="00DE6D28" w:rsidP="007267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3EA4C"/>
    <w:multiLevelType w:val="hybridMultilevel"/>
    <w:tmpl w:val="EDD49330"/>
    <w:lvl w:ilvl="0" w:tplc="442A6778">
      <w:start w:val="1"/>
      <w:numFmt w:val="decimal"/>
      <w:lvlText w:val="%1)"/>
      <w:lvlJc w:val="left"/>
      <w:pPr>
        <w:ind w:left="720" w:hanging="360"/>
      </w:pPr>
    </w:lvl>
    <w:lvl w:ilvl="1" w:tplc="081A3FFA">
      <w:start w:val="1"/>
      <w:numFmt w:val="lowerLetter"/>
      <w:lvlText w:val="%2."/>
      <w:lvlJc w:val="left"/>
      <w:pPr>
        <w:ind w:left="1440" w:hanging="360"/>
      </w:pPr>
    </w:lvl>
    <w:lvl w:ilvl="2" w:tplc="B7CC913A">
      <w:start w:val="1"/>
      <w:numFmt w:val="lowerRoman"/>
      <w:lvlText w:val="%3."/>
      <w:lvlJc w:val="right"/>
      <w:pPr>
        <w:ind w:left="2160" w:hanging="180"/>
      </w:pPr>
    </w:lvl>
    <w:lvl w:ilvl="3" w:tplc="FDDC6930">
      <w:start w:val="1"/>
      <w:numFmt w:val="decimal"/>
      <w:lvlText w:val="%4."/>
      <w:lvlJc w:val="left"/>
      <w:pPr>
        <w:ind w:left="2880" w:hanging="360"/>
      </w:pPr>
    </w:lvl>
    <w:lvl w:ilvl="4" w:tplc="EC6A4A9E">
      <w:start w:val="1"/>
      <w:numFmt w:val="lowerLetter"/>
      <w:lvlText w:val="%5."/>
      <w:lvlJc w:val="left"/>
      <w:pPr>
        <w:ind w:left="3600" w:hanging="360"/>
      </w:pPr>
    </w:lvl>
    <w:lvl w:ilvl="5" w:tplc="1590A71A">
      <w:start w:val="1"/>
      <w:numFmt w:val="lowerRoman"/>
      <w:lvlText w:val="%6."/>
      <w:lvlJc w:val="right"/>
      <w:pPr>
        <w:ind w:left="4320" w:hanging="180"/>
      </w:pPr>
    </w:lvl>
    <w:lvl w:ilvl="6" w:tplc="27FC4688">
      <w:start w:val="1"/>
      <w:numFmt w:val="decimal"/>
      <w:lvlText w:val="%7."/>
      <w:lvlJc w:val="left"/>
      <w:pPr>
        <w:ind w:left="5040" w:hanging="360"/>
      </w:pPr>
    </w:lvl>
    <w:lvl w:ilvl="7" w:tplc="513A857C">
      <w:start w:val="1"/>
      <w:numFmt w:val="lowerLetter"/>
      <w:lvlText w:val="%8."/>
      <w:lvlJc w:val="left"/>
      <w:pPr>
        <w:ind w:left="5760" w:hanging="360"/>
      </w:pPr>
    </w:lvl>
    <w:lvl w:ilvl="8" w:tplc="4E8A904A">
      <w:start w:val="1"/>
      <w:numFmt w:val="lowerRoman"/>
      <w:lvlText w:val="%9."/>
      <w:lvlJc w:val="right"/>
      <w:pPr>
        <w:ind w:left="6480" w:hanging="180"/>
      </w:pPr>
    </w:lvl>
  </w:abstractNum>
  <w:abstractNum w:abstractNumId="1" w15:restartNumberingAfterBreak="0">
    <w:nsid w:val="1FBE633F"/>
    <w:multiLevelType w:val="hybridMultilevel"/>
    <w:tmpl w:val="88F4816E"/>
    <w:lvl w:ilvl="0" w:tplc="B5F05BE6">
      <w:start w:val="1"/>
      <w:numFmt w:val="decimal"/>
      <w:lvlText w:val="%1."/>
      <w:lvlJc w:val="left"/>
      <w:pPr>
        <w:ind w:left="360" w:hanging="360"/>
      </w:pPr>
      <w:rPr>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5B4322F"/>
    <w:multiLevelType w:val="hybridMultilevel"/>
    <w:tmpl w:val="A22CDB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49C4988"/>
    <w:multiLevelType w:val="hybridMultilevel"/>
    <w:tmpl w:val="6B0C07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7A65E78"/>
    <w:multiLevelType w:val="hybridMultilevel"/>
    <w:tmpl w:val="ECC4CF7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113208256">
    <w:abstractNumId w:val="3"/>
  </w:num>
  <w:num w:numId="2" w16cid:durableId="537276822">
    <w:abstractNumId w:val="4"/>
  </w:num>
  <w:num w:numId="3" w16cid:durableId="1269046374">
    <w:abstractNumId w:val="1"/>
  </w:num>
  <w:num w:numId="4" w16cid:durableId="19332782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535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0C1"/>
    <w:rsid w:val="00010601"/>
    <w:rsid w:val="000198FB"/>
    <w:rsid w:val="00032290"/>
    <w:rsid w:val="000B174C"/>
    <w:rsid w:val="000F7ACA"/>
    <w:rsid w:val="001137BD"/>
    <w:rsid w:val="00146112"/>
    <w:rsid w:val="001B7083"/>
    <w:rsid w:val="00210506"/>
    <w:rsid w:val="00250AE8"/>
    <w:rsid w:val="002A4045"/>
    <w:rsid w:val="002B722D"/>
    <w:rsid w:val="002F5B4B"/>
    <w:rsid w:val="0036681E"/>
    <w:rsid w:val="00367445"/>
    <w:rsid w:val="003C1696"/>
    <w:rsid w:val="003F1D9A"/>
    <w:rsid w:val="003F7106"/>
    <w:rsid w:val="004550C1"/>
    <w:rsid w:val="0049393D"/>
    <w:rsid w:val="00523C8A"/>
    <w:rsid w:val="0059728F"/>
    <w:rsid w:val="005C08C7"/>
    <w:rsid w:val="005C683A"/>
    <w:rsid w:val="005F0E21"/>
    <w:rsid w:val="005F4449"/>
    <w:rsid w:val="006208C5"/>
    <w:rsid w:val="006C69C1"/>
    <w:rsid w:val="006D3F2E"/>
    <w:rsid w:val="006F5587"/>
    <w:rsid w:val="007267A9"/>
    <w:rsid w:val="00747E73"/>
    <w:rsid w:val="00751198"/>
    <w:rsid w:val="007644C5"/>
    <w:rsid w:val="008B2C9A"/>
    <w:rsid w:val="008E5640"/>
    <w:rsid w:val="008E7E29"/>
    <w:rsid w:val="00945F58"/>
    <w:rsid w:val="00950D37"/>
    <w:rsid w:val="009B0BAE"/>
    <w:rsid w:val="009D335B"/>
    <w:rsid w:val="009F00E5"/>
    <w:rsid w:val="00A17730"/>
    <w:rsid w:val="00B738BE"/>
    <w:rsid w:val="00B77E70"/>
    <w:rsid w:val="00B90D33"/>
    <w:rsid w:val="00B945F4"/>
    <w:rsid w:val="00BE14B4"/>
    <w:rsid w:val="00BE4F0C"/>
    <w:rsid w:val="00C414EA"/>
    <w:rsid w:val="00C46D00"/>
    <w:rsid w:val="00C75256"/>
    <w:rsid w:val="00D7415B"/>
    <w:rsid w:val="00D92762"/>
    <w:rsid w:val="00DE6D28"/>
    <w:rsid w:val="00E4715F"/>
    <w:rsid w:val="00EC783D"/>
    <w:rsid w:val="00ED370B"/>
    <w:rsid w:val="00F06C75"/>
    <w:rsid w:val="00F124EC"/>
    <w:rsid w:val="00F133CF"/>
    <w:rsid w:val="00F25CCA"/>
    <w:rsid w:val="00F418E6"/>
    <w:rsid w:val="00F73A98"/>
    <w:rsid w:val="00FF2B76"/>
    <w:rsid w:val="08F9A88A"/>
    <w:rsid w:val="09E41D49"/>
    <w:rsid w:val="0E1F3135"/>
    <w:rsid w:val="107CF425"/>
    <w:rsid w:val="116BEF50"/>
    <w:rsid w:val="147A6D0A"/>
    <w:rsid w:val="21C26366"/>
    <w:rsid w:val="24345AFB"/>
    <w:rsid w:val="249D243D"/>
    <w:rsid w:val="24A1BB07"/>
    <w:rsid w:val="24AED3A8"/>
    <w:rsid w:val="2D379351"/>
    <w:rsid w:val="30BECED9"/>
    <w:rsid w:val="384771FB"/>
    <w:rsid w:val="38C244A9"/>
    <w:rsid w:val="38E6C215"/>
    <w:rsid w:val="394C93CC"/>
    <w:rsid w:val="3F976820"/>
    <w:rsid w:val="4404DAF8"/>
    <w:rsid w:val="4A52DCB6"/>
    <w:rsid w:val="4D78694B"/>
    <w:rsid w:val="5472CE9F"/>
    <w:rsid w:val="56831D31"/>
    <w:rsid w:val="5A8A9E28"/>
    <w:rsid w:val="5B714ECE"/>
    <w:rsid w:val="5C652481"/>
    <w:rsid w:val="5F48B210"/>
    <w:rsid w:val="6114C950"/>
    <w:rsid w:val="6203EB47"/>
    <w:rsid w:val="654D1C91"/>
    <w:rsid w:val="6BE72471"/>
    <w:rsid w:val="6FA2DA4E"/>
    <w:rsid w:val="72C0DA67"/>
    <w:rsid w:val="74EDEE57"/>
    <w:rsid w:val="7C2ACB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FC655"/>
  <w15:docId w15:val="{90CDEFE0-F6ED-4B72-9D0B-B63572BB3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59" w:lineRule="auto"/>
      <w:jc w:val="right"/>
    </w:pPr>
    <w:rPr>
      <w:rFonts w:ascii="Calibri" w:eastAsia="Calibri" w:hAnsi="Calibri" w:cs="Calibri"/>
      <w:i/>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8B2C9A"/>
    <w:pPr>
      <w:spacing w:after="160"/>
      <w:ind w:left="720"/>
      <w:contextualSpacing/>
      <w:jc w:val="left"/>
    </w:pPr>
    <w:rPr>
      <w:rFonts w:asciiTheme="minorHAnsi" w:eastAsiaTheme="minorHAnsi" w:hAnsiTheme="minorHAnsi" w:cstheme="minorBidi"/>
      <w:i w:val="0"/>
      <w:color w:val="auto"/>
      <w:szCs w:val="22"/>
      <w:lang w:eastAsia="en-US"/>
    </w:rPr>
  </w:style>
  <w:style w:type="paragraph" w:styleId="Nagwek">
    <w:name w:val="header"/>
    <w:basedOn w:val="Normalny"/>
    <w:link w:val="NagwekZnak"/>
    <w:uiPriority w:val="99"/>
    <w:unhideWhenUsed/>
    <w:rsid w:val="007267A9"/>
    <w:pPr>
      <w:tabs>
        <w:tab w:val="center" w:pos="4536"/>
        <w:tab w:val="right" w:pos="9072"/>
      </w:tabs>
      <w:spacing w:line="240" w:lineRule="auto"/>
    </w:pPr>
  </w:style>
  <w:style w:type="character" w:customStyle="1" w:styleId="NagwekZnak">
    <w:name w:val="Nagłówek Znak"/>
    <w:basedOn w:val="Domylnaczcionkaakapitu"/>
    <w:link w:val="Nagwek"/>
    <w:uiPriority w:val="99"/>
    <w:rsid w:val="007267A9"/>
    <w:rPr>
      <w:rFonts w:ascii="Calibri" w:eastAsia="Calibri" w:hAnsi="Calibri" w:cs="Calibri"/>
      <w:i/>
      <w:color w:val="000000"/>
      <w:sz w:val="22"/>
    </w:rPr>
  </w:style>
  <w:style w:type="paragraph" w:styleId="Stopka">
    <w:name w:val="footer"/>
    <w:basedOn w:val="Normalny"/>
    <w:link w:val="StopkaZnak"/>
    <w:uiPriority w:val="99"/>
    <w:unhideWhenUsed/>
    <w:rsid w:val="007267A9"/>
    <w:pPr>
      <w:tabs>
        <w:tab w:val="center" w:pos="4536"/>
        <w:tab w:val="right" w:pos="9072"/>
      </w:tabs>
      <w:spacing w:line="240" w:lineRule="auto"/>
    </w:pPr>
  </w:style>
  <w:style w:type="character" w:customStyle="1" w:styleId="StopkaZnak">
    <w:name w:val="Stopka Znak"/>
    <w:basedOn w:val="Domylnaczcionkaakapitu"/>
    <w:link w:val="Stopka"/>
    <w:uiPriority w:val="99"/>
    <w:rsid w:val="007267A9"/>
    <w:rPr>
      <w:rFonts w:ascii="Calibri" w:eastAsia="Calibri" w:hAnsi="Calibri" w:cs="Calibri"/>
      <w:i/>
      <w:color w:val="000000"/>
      <w:sz w:val="22"/>
    </w:rPr>
  </w:style>
  <w:style w:type="paragraph" w:customStyle="1" w:styleId="paragraph">
    <w:name w:val="paragraph"/>
    <w:basedOn w:val="Normalny"/>
    <w:uiPriority w:val="1"/>
    <w:rsid w:val="00ED370B"/>
    <w:pPr>
      <w:spacing w:beforeAutospacing="1" w:after="160" w:afterAutospacing="1" w:line="240" w:lineRule="auto"/>
      <w:jc w:val="left"/>
    </w:pPr>
    <w:rPr>
      <w:rFonts w:asciiTheme="minorHAnsi" w:eastAsiaTheme="minorEastAsia" w:hAnsiTheme="minorHAnsi" w:cstheme="minorBidi"/>
      <w:i w:val="0"/>
      <w:color w:val="auto"/>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61D21A4A77BFF43B6C25E2FFE1B1322" ma:contentTypeVersion="10" ma:contentTypeDescription="Utwórz nowy dokument." ma:contentTypeScope="" ma:versionID="c96be3863e9134441d52317d076e4819">
  <xsd:schema xmlns:xsd="http://www.w3.org/2001/XMLSchema" xmlns:xs="http://www.w3.org/2001/XMLSchema" xmlns:p="http://schemas.microsoft.com/office/2006/metadata/properties" xmlns:ns2="98c0a6ca-4c48-40ca-9f67-9aaad1cc06ec" xmlns:ns3="e52de132-9d50-43be-8676-47136a72cb75" targetNamespace="http://schemas.microsoft.com/office/2006/metadata/properties" ma:root="true" ma:fieldsID="199e9a0a99d7a5a997e07385edb39baa" ns2:_="" ns3:_="">
    <xsd:import namespace="98c0a6ca-4c48-40ca-9f67-9aaad1cc06ec"/>
    <xsd:import namespace="e52de132-9d50-43be-8676-47136a72cb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c0a6ca-4c48-40ca-9f67-9aaad1cc06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8352a0f-ffdd-4438-b30b-9b90df05c5c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de132-9d50-43be-8676-47136a72cb7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6152370-46d3-4ef7-9673-0cb4353afd56}" ma:internalName="TaxCatchAll" ma:showField="CatchAllData" ma:web="e52de132-9d50-43be-8676-47136a72cb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c0a6ca-4c48-40ca-9f67-9aaad1cc06ec">
      <Terms xmlns="http://schemas.microsoft.com/office/infopath/2007/PartnerControls"/>
    </lcf76f155ced4ddcb4097134ff3c332f>
    <TaxCatchAll xmlns="e52de132-9d50-43be-8676-47136a72cb7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0753C7-5BA2-4EA4-9386-88163BD5C7F9}">
  <ds:schemaRefs>
    <ds:schemaRef ds:uri="http://schemas.openxmlformats.org/officeDocument/2006/bibliography"/>
  </ds:schemaRefs>
</ds:datastoreItem>
</file>

<file path=customXml/itemProps2.xml><?xml version="1.0" encoding="utf-8"?>
<ds:datastoreItem xmlns:ds="http://schemas.openxmlformats.org/officeDocument/2006/customXml" ds:itemID="{1A870B8B-CB4F-4EEA-A15E-D89438F78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c0a6ca-4c48-40ca-9f67-9aaad1cc06ec"/>
    <ds:schemaRef ds:uri="e52de132-9d50-43be-8676-47136a72cb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251860-4872-4A99-A408-2941B950BC60}">
  <ds:schemaRefs>
    <ds:schemaRef ds:uri="http://schemas.microsoft.com/office/2006/metadata/properties"/>
    <ds:schemaRef ds:uri="http://schemas.microsoft.com/office/infopath/2007/PartnerControls"/>
    <ds:schemaRef ds:uri="98c0a6ca-4c48-40ca-9f67-9aaad1cc06ec"/>
    <ds:schemaRef ds:uri="e52de132-9d50-43be-8676-47136a72cb75"/>
  </ds:schemaRefs>
</ds:datastoreItem>
</file>

<file path=customXml/itemProps4.xml><?xml version="1.0" encoding="utf-8"?>
<ds:datastoreItem xmlns:ds="http://schemas.openxmlformats.org/officeDocument/2006/customXml" ds:itemID="{00AD9407-2EEE-4DA0-82D3-F2E01D8759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4083</Words>
  <Characters>24500</Characters>
  <Application>Microsoft Office Word</Application>
  <DocSecurity>0</DocSecurity>
  <Lines>204</Lines>
  <Paragraphs>57</Paragraphs>
  <ScaleCrop>false</ScaleCrop>
  <Company>COI</Company>
  <LinksUpToDate>false</LinksUpToDate>
  <CharactersWithSpaces>28526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Makowski Dariusz</dc:creator>
  <cp:keywords/>
  <cp:lastModifiedBy>Rynek Agata</cp:lastModifiedBy>
  <cp:revision>2</cp:revision>
  <cp:lastPrinted>2025-12-30T14:35:00Z</cp:lastPrinted>
  <dcterms:created xsi:type="dcterms:W3CDTF">2026-01-19T10:32:00Z</dcterms:created>
  <dcterms:modified xsi:type="dcterms:W3CDTF">2026-01-19T10:32:00Z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0x010100061D21A4A77BFF43B6C25E2FFE1B1322</vt:lpwstr>
  </property>
  <property fmtid="{D5CDD505-2E9C-101B-9397-08002B2CF9AE}" pid="3" name="MediaServiceImageTags">
    <vt:lpwstr/>
  </property>
</Properties>
</file>